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5155D681" w:rsidR="00AD706B" w:rsidRDefault="00534262" w:rsidP="00AD706B">
      <w:pPr>
        <w:pStyle w:val="Heading1"/>
      </w:pPr>
      <w:r w:rsidRPr="00534262">
        <w:t>IT-8.5</w:t>
      </w:r>
      <w:r w:rsidR="00AD706B">
        <w:t xml:space="preserve">:  </w:t>
      </w:r>
      <w:r>
        <w:t>Frequency of Ongoing Prenatal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D706B" w14:paraId="780D73B5" w14:textId="77777777" w:rsidTr="0071629B">
        <w:trPr>
          <w:tblHeader/>
        </w:trPr>
        <w:tc>
          <w:tcPr>
            <w:tcW w:w="253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14:paraId="780D73B4" w14:textId="6A94801D" w:rsidR="00AD706B" w:rsidRPr="00C85047" w:rsidRDefault="00C85047" w:rsidP="00BE46AE">
            <w:pPr>
              <w:pStyle w:val="NoSpacing"/>
              <w:rPr>
                <w:b/>
              </w:rPr>
            </w:pPr>
            <w:r w:rsidRPr="00143E89">
              <w:rPr>
                <w:b/>
              </w:rPr>
              <w:t xml:space="preserve">IT-8.5 </w:t>
            </w:r>
            <w:r w:rsidR="00BE46AE" w:rsidRPr="00143E89">
              <w:rPr>
                <w:b/>
              </w:rPr>
              <w:t>Frequency of Ongoing Prenatal Care</w:t>
            </w:r>
            <w:r w:rsidR="00AD706B" w:rsidRPr="00C85047">
              <w:rPr>
                <w:b/>
              </w:rPr>
              <w:t xml:space="preserve"> </w:t>
            </w:r>
          </w:p>
        </w:tc>
      </w:tr>
      <w:tr w:rsidR="00AD706B" w14:paraId="780D73B8" w14:textId="77777777" w:rsidTr="0071629B">
        <w:tc>
          <w:tcPr>
            <w:tcW w:w="253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7038" w:type="dxa"/>
          </w:tcPr>
          <w:p w14:paraId="780D73B7" w14:textId="6960118B" w:rsidR="003116A0" w:rsidRDefault="00BE46AE" w:rsidP="00BE46AE">
            <w:pPr>
              <w:pStyle w:val="NoSpacing"/>
            </w:pPr>
            <w:r>
              <w:t xml:space="preserve">Percentage of deliveries in year prior to the measurement year that received </w:t>
            </w:r>
            <w:r w:rsidR="00C85047">
              <w:t xml:space="preserve">≥ </w:t>
            </w:r>
            <w:r>
              <w:t>81</w:t>
            </w:r>
            <w:r w:rsidR="00C85047">
              <w:t>%</w:t>
            </w:r>
            <w:r>
              <w:t xml:space="preserve"> of expected </w:t>
            </w:r>
            <w:r w:rsidR="001B05B1">
              <w:t xml:space="preserve"> prenatal </w:t>
            </w:r>
            <w:r>
              <w:t>visits</w:t>
            </w:r>
          </w:p>
        </w:tc>
      </w:tr>
      <w:tr w:rsidR="00AD706B" w14:paraId="780D73BB" w14:textId="77777777" w:rsidTr="0071629B">
        <w:tc>
          <w:tcPr>
            <w:tcW w:w="253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7038" w:type="dxa"/>
          </w:tcPr>
          <w:p w14:paraId="780D73BA" w14:textId="024C67C7" w:rsidR="00AD706B" w:rsidRDefault="00BE46AE" w:rsidP="00BE46AE">
            <w:pPr>
              <w:pStyle w:val="NoSpacing"/>
            </w:pPr>
            <w:r>
              <w:t>1391</w:t>
            </w:r>
          </w:p>
        </w:tc>
      </w:tr>
      <w:tr w:rsidR="00AD706B" w14:paraId="780D73BE" w14:textId="77777777" w:rsidTr="0071629B">
        <w:tc>
          <w:tcPr>
            <w:tcW w:w="253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7038" w:type="dxa"/>
          </w:tcPr>
          <w:p w14:paraId="780D73BD" w14:textId="6D78780F" w:rsidR="00AD706B" w:rsidRPr="00631E85" w:rsidRDefault="00BE46AE" w:rsidP="00BE46AE">
            <w:pPr>
              <w:pStyle w:val="NoSpacing"/>
            </w:pPr>
            <w:r w:rsidRPr="00BE46AE">
              <w:t>National Committee for Quality Assurance (NCQA)</w:t>
            </w:r>
          </w:p>
        </w:tc>
      </w:tr>
      <w:tr w:rsidR="00AD706B" w14:paraId="780D73C1" w14:textId="77777777" w:rsidTr="0071629B">
        <w:tc>
          <w:tcPr>
            <w:tcW w:w="253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7038" w:type="dxa"/>
          </w:tcPr>
          <w:p w14:paraId="780D73C0" w14:textId="7487E90A" w:rsidR="00AD706B" w:rsidRPr="00631E85" w:rsidRDefault="00143E89" w:rsidP="00BE46AE">
            <w:pPr>
              <w:pStyle w:val="NoSpacing"/>
            </w:pPr>
            <w:hyperlink r:id="rId12" w:history="1">
              <w:r w:rsidR="00BE46AE" w:rsidRPr="00380B18">
                <w:rPr>
                  <w:rStyle w:val="Hyperlink"/>
                </w:rPr>
                <w:t>https://www.qualityforum.org/QPS/1391</w:t>
              </w:r>
            </w:hyperlink>
            <w:r w:rsidR="00B05CBF">
              <w:t xml:space="preserve"> </w:t>
            </w:r>
          </w:p>
        </w:tc>
      </w:tr>
      <w:tr w:rsidR="00AD706B" w14:paraId="780D73C4" w14:textId="77777777" w:rsidTr="0071629B">
        <w:tc>
          <w:tcPr>
            <w:tcW w:w="2538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7038" w:type="dxa"/>
          </w:tcPr>
          <w:p w14:paraId="780D73C3" w14:textId="220769CE" w:rsidR="00AD706B" w:rsidRDefault="00165D76" w:rsidP="00BE46AE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C10B89" w14:paraId="780D73C7" w14:textId="77777777" w:rsidTr="0071629B">
        <w:tc>
          <w:tcPr>
            <w:tcW w:w="2538" w:type="dxa"/>
          </w:tcPr>
          <w:p w14:paraId="780D73C5" w14:textId="258DFE67" w:rsidR="00C10B89" w:rsidRDefault="00C10B89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7038" w:type="dxa"/>
          </w:tcPr>
          <w:p w14:paraId="61E85B7B" w14:textId="77777777" w:rsidR="00C10B89" w:rsidRDefault="00C10B89" w:rsidP="003546A9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C10B89" w14:paraId="24E33ABE" w14:textId="77777777" w:rsidTr="003546A9">
              <w:tc>
                <w:tcPr>
                  <w:tcW w:w="1880" w:type="dxa"/>
                </w:tcPr>
                <w:p w14:paraId="2A0A5A99" w14:textId="77777777" w:rsidR="00C10B89" w:rsidRPr="00791AAE" w:rsidRDefault="00C10B89" w:rsidP="003546A9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6A425C0C" w14:textId="77777777" w:rsidR="00C10B89" w:rsidRPr="00791AAE" w:rsidRDefault="00C10B89" w:rsidP="003546A9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0ED2289B" w14:textId="77777777" w:rsidR="00C10B89" w:rsidRPr="00791AAE" w:rsidRDefault="00C10B89" w:rsidP="003546A9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2F6C7988" w14:textId="77777777" w:rsidR="00C10B89" w:rsidRPr="00791AAE" w:rsidRDefault="00C10B89" w:rsidP="003546A9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6F7F2B39" w14:textId="77777777" w:rsidR="00C10B89" w:rsidRPr="00791AAE" w:rsidRDefault="00C10B89" w:rsidP="003546A9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7CAA1B38" w14:textId="77777777" w:rsidR="00C10B89" w:rsidRPr="00791AAE" w:rsidRDefault="00C10B89" w:rsidP="003546A9">
                  <w:pPr>
                    <w:pStyle w:val="NoSpacing"/>
                    <w:jc w:val="center"/>
                  </w:pPr>
                </w:p>
              </w:tc>
            </w:tr>
            <w:tr w:rsidR="00C10B89" w14:paraId="27CF22BA" w14:textId="77777777" w:rsidTr="003546A9">
              <w:tc>
                <w:tcPr>
                  <w:tcW w:w="1880" w:type="dxa"/>
                  <w:vMerge w:val="restart"/>
                </w:tcPr>
                <w:p w14:paraId="3C514731" w14:textId="77777777" w:rsidR="00C10B89" w:rsidRPr="00791AAE" w:rsidRDefault="00C10B89" w:rsidP="003546A9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14:paraId="1524F72C" w14:textId="77777777" w:rsidR="00C10B89" w:rsidRPr="00791AAE" w:rsidRDefault="00C10B89" w:rsidP="003546A9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462B1AB1" w14:textId="77777777" w:rsidR="00C10B89" w:rsidRDefault="00C10B89" w:rsidP="003546A9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7EABCB9E" w14:textId="77777777" w:rsidR="00C10B89" w:rsidRPr="00791AAE" w:rsidRDefault="00C10B89" w:rsidP="003546A9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1FAF6C01" w14:textId="77777777" w:rsidR="00C10B89" w:rsidRPr="00791AAE" w:rsidRDefault="00C10B89" w:rsidP="003546A9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C10B89" w14:paraId="5FF404F4" w14:textId="77777777" w:rsidTr="003546A9">
              <w:tc>
                <w:tcPr>
                  <w:tcW w:w="1880" w:type="dxa"/>
                  <w:vMerge/>
                </w:tcPr>
                <w:p w14:paraId="50741488" w14:textId="77777777" w:rsidR="00C10B89" w:rsidRPr="00791AAE" w:rsidRDefault="00C10B89" w:rsidP="003546A9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104492E1" w14:textId="77777777" w:rsidR="00C10B89" w:rsidRDefault="00C10B89" w:rsidP="003546A9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31C383AD" w14:textId="77777777" w:rsidR="00C10B89" w:rsidRPr="00791AAE" w:rsidRDefault="00C10B89" w:rsidP="003546A9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846" w:type="dxa"/>
                </w:tcPr>
                <w:p w14:paraId="349F57B2" w14:textId="77777777" w:rsidR="00C10B89" w:rsidRPr="00791AAE" w:rsidRDefault="00C10B89" w:rsidP="003546A9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780D73C6" w14:textId="53658763" w:rsidR="00C10B89" w:rsidRDefault="00C10B89" w:rsidP="00BE46AE">
            <w:pPr>
              <w:pStyle w:val="NoSpacing"/>
            </w:pPr>
          </w:p>
        </w:tc>
      </w:tr>
      <w:tr w:rsidR="00C10B89" w14:paraId="427E2731" w14:textId="77777777" w:rsidTr="0071629B">
        <w:tc>
          <w:tcPr>
            <w:tcW w:w="2538" w:type="dxa"/>
          </w:tcPr>
          <w:p w14:paraId="290A1C10" w14:textId="2F6EF4CF" w:rsidR="00C10B89" w:rsidRDefault="00C10B89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7038" w:type="dxa"/>
          </w:tcPr>
          <w:tbl>
            <w:tblPr>
              <w:tblStyle w:val="TableGrid"/>
              <w:tblW w:w="6637" w:type="dxa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C10B89" w14:paraId="30DE4DDE" w14:textId="77777777" w:rsidTr="003546A9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4EB27FD1" w14:textId="281B1AA8" w:rsidR="00C10B89" w:rsidRPr="00791AAE" w:rsidRDefault="00C10B89" w:rsidP="00C10B89">
                  <w:pPr>
                    <w:pStyle w:val="NoSpacing"/>
                    <w:jc w:val="center"/>
                  </w:pPr>
                  <w:r w:rsidRPr="00E3780B">
                    <w:t>NCQA</w:t>
                  </w:r>
                  <w:r>
                    <w:t xml:space="preserve"> 2013 Quality Compass</w:t>
                  </w:r>
                </w:p>
              </w:tc>
            </w:tr>
            <w:tr w:rsidR="00C10B89" w14:paraId="42796049" w14:textId="77777777" w:rsidTr="003546A9">
              <w:tc>
                <w:tcPr>
                  <w:tcW w:w="3397" w:type="dxa"/>
                </w:tcPr>
                <w:p w14:paraId="5B5E086D" w14:textId="77777777" w:rsidR="00C10B89" w:rsidRPr="00791AAE" w:rsidRDefault="00C10B89" w:rsidP="003546A9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6C0622FE" w14:textId="347B6253" w:rsidR="00C10B89" w:rsidRPr="00791AAE" w:rsidRDefault="00C10B89" w:rsidP="003546A9">
                  <w:pPr>
                    <w:pStyle w:val="NoSpacing"/>
                    <w:jc w:val="center"/>
                  </w:pPr>
                  <w:r>
                    <w:t>81.75%</w:t>
                  </w:r>
                </w:p>
              </w:tc>
            </w:tr>
            <w:tr w:rsidR="00C10B89" w14:paraId="39653852" w14:textId="77777777" w:rsidTr="003546A9">
              <w:tc>
                <w:tcPr>
                  <w:tcW w:w="3397" w:type="dxa"/>
                </w:tcPr>
                <w:p w14:paraId="456FADA8" w14:textId="77777777" w:rsidR="00C10B89" w:rsidRPr="00791AAE" w:rsidRDefault="00C10B89" w:rsidP="003546A9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1967CC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26056E4D" w14:textId="43EA6E14" w:rsidR="00C10B89" w:rsidRPr="00791AAE" w:rsidRDefault="00C10B89" w:rsidP="003546A9">
                  <w:pPr>
                    <w:pStyle w:val="NoSpacing"/>
                    <w:jc w:val="center"/>
                  </w:pPr>
                  <w:r>
                    <w:t>52.55%</w:t>
                  </w:r>
                </w:p>
              </w:tc>
            </w:tr>
          </w:tbl>
          <w:p w14:paraId="03E34FEF" w14:textId="77777777" w:rsidR="00C10B89" w:rsidRDefault="00C10B89" w:rsidP="00BE46AE">
            <w:pPr>
              <w:pStyle w:val="NoSpacing"/>
            </w:pPr>
          </w:p>
        </w:tc>
      </w:tr>
      <w:tr w:rsidR="00AD706B" w14:paraId="780D73D0" w14:textId="77777777" w:rsidTr="0071629B">
        <w:tc>
          <w:tcPr>
            <w:tcW w:w="253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7038" w:type="dxa"/>
          </w:tcPr>
          <w:p w14:paraId="780D73CB" w14:textId="2D87DBA5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6FDF9946" w14:textId="77777777" w:rsidR="00BE46AE" w:rsidRDefault="00BE46AE" w:rsidP="00BE46AE">
            <w:pPr>
              <w:pStyle w:val="NoSpacing"/>
              <w:numPr>
                <w:ilvl w:val="0"/>
                <w:numId w:val="9"/>
              </w:numPr>
            </w:pPr>
            <w:r w:rsidRPr="00BE46AE">
              <w:t xml:space="preserve">Removed language specifying Medicaid deliveries; </w:t>
            </w:r>
          </w:p>
          <w:p w14:paraId="170EBEB9" w14:textId="77777777" w:rsidR="009F78A7" w:rsidRDefault="00BE46AE" w:rsidP="00BE46AE">
            <w:pPr>
              <w:pStyle w:val="NoSpacing"/>
              <w:numPr>
                <w:ilvl w:val="0"/>
                <w:numId w:val="9"/>
              </w:numPr>
            </w:pPr>
            <w:r>
              <w:t>R</w:t>
            </w:r>
            <w:r w:rsidRPr="00BE46AE">
              <w:t>emoved the November measurement period reference</w:t>
            </w:r>
          </w:p>
          <w:p w14:paraId="780D73CF" w14:textId="3380F528" w:rsidR="00C85047" w:rsidRDefault="00C85047" w:rsidP="00BE46AE">
            <w:pPr>
              <w:pStyle w:val="NoSpacing"/>
              <w:numPr>
                <w:ilvl w:val="0"/>
                <w:numId w:val="9"/>
              </w:numPr>
            </w:pPr>
            <w:r>
              <w:t>Removed all other percentage of expected visits except ≥ 81</w:t>
            </w:r>
          </w:p>
        </w:tc>
      </w:tr>
      <w:tr w:rsidR="00AD706B" w14:paraId="780D73D3" w14:textId="77777777" w:rsidTr="0071629B">
        <w:tc>
          <w:tcPr>
            <w:tcW w:w="253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7038" w:type="dxa"/>
          </w:tcPr>
          <w:p w14:paraId="780D73D2" w14:textId="047AEBBF" w:rsidR="00AD706B" w:rsidRPr="009F7E66" w:rsidRDefault="00BE46AE" w:rsidP="00BE46AE">
            <w:pPr>
              <w:pStyle w:val="NoSpacing"/>
            </w:pPr>
            <w:r>
              <w:t>Deliveries in year prior to the measurement year.</w:t>
            </w:r>
          </w:p>
        </w:tc>
      </w:tr>
      <w:tr w:rsidR="00787D45" w14:paraId="780D73D6" w14:textId="77777777" w:rsidTr="0071629B">
        <w:trPr>
          <w:trHeight w:val="728"/>
        </w:trPr>
        <w:tc>
          <w:tcPr>
            <w:tcW w:w="253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7038" w:type="dxa"/>
          </w:tcPr>
          <w:p w14:paraId="780D73D5" w14:textId="47F9BB4C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BE46AE">
              <w:t>n the denominator description.</w:t>
            </w:r>
          </w:p>
        </w:tc>
      </w:tr>
      <w:tr w:rsidR="00787D45" w14:paraId="780D73D9" w14:textId="77777777" w:rsidTr="0071629B">
        <w:trPr>
          <w:trHeight w:val="710"/>
        </w:trPr>
        <w:tc>
          <w:tcPr>
            <w:tcW w:w="253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7038" w:type="dxa"/>
          </w:tcPr>
          <w:p w14:paraId="780D73D8" w14:textId="7D4489A8" w:rsidR="00787D45" w:rsidRPr="001D6BEA" w:rsidRDefault="00BE46AE" w:rsidP="002F15E3">
            <w:pPr>
              <w:pStyle w:val="NoSpacing"/>
            </w:pPr>
            <w:r>
              <w:t>Non-live births</w:t>
            </w:r>
          </w:p>
        </w:tc>
      </w:tr>
      <w:tr w:rsidR="00D63CD3" w14:paraId="780D73DF" w14:textId="77777777" w:rsidTr="0071629B">
        <w:tc>
          <w:tcPr>
            <w:tcW w:w="253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703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</w:t>
            </w:r>
            <w:r w:rsidR="003A409E">
              <w:lastRenderedPageBreak/>
              <w:t xml:space="preserve">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71629B">
        <w:tc>
          <w:tcPr>
            <w:tcW w:w="253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7038" w:type="dxa"/>
          </w:tcPr>
          <w:p w14:paraId="780D73E1" w14:textId="290CBBE3" w:rsidR="00AC3A97" w:rsidRPr="009F7E66" w:rsidRDefault="00BE46AE" w:rsidP="00BE46AE">
            <w:pPr>
              <w:pStyle w:val="NoSpacing"/>
            </w:pPr>
            <w:r>
              <w:t xml:space="preserve">Women who had an unduplicated count </w:t>
            </w:r>
            <w:r w:rsidR="00C85047">
              <w:t xml:space="preserve"> of ≥ </w:t>
            </w:r>
            <w:r>
              <w:t xml:space="preserve">81 percent of the number of expected visits, adjusted for the month of pregnancy at time of </w:t>
            </w:r>
            <w:r w:rsidR="00C85047">
              <w:t xml:space="preserve">first medical contact with provider </w:t>
            </w:r>
            <w:r>
              <w:t>and gestational age.</w:t>
            </w:r>
          </w:p>
        </w:tc>
      </w:tr>
      <w:tr w:rsidR="00787D45" w14:paraId="780D73E5" w14:textId="77777777" w:rsidTr="0071629B">
        <w:tc>
          <w:tcPr>
            <w:tcW w:w="2538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7038" w:type="dxa"/>
          </w:tcPr>
          <w:p w14:paraId="780D73E4" w14:textId="5477D454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95133C">
              <w:t xml:space="preserve"> in the numerator description.</w:t>
            </w:r>
          </w:p>
        </w:tc>
      </w:tr>
      <w:tr w:rsidR="00787D45" w14:paraId="780D73E8" w14:textId="77777777" w:rsidTr="0071629B">
        <w:tc>
          <w:tcPr>
            <w:tcW w:w="253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7038" w:type="dxa"/>
          </w:tcPr>
          <w:p w14:paraId="780D73E7" w14:textId="63DB0F5F" w:rsidR="00787D45" w:rsidRPr="001D6BEA" w:rsidRDefault="0095133C" w:rsidP="0095133C">
            <w:pPr>
              <w:pStyle w:val="NoSpacing"/>
            </w:pPr>
            <w:r>
              <w:t>The Measure Steward does not identify specific numerator inclusions beyond what is described in the numerator description.</w:t>
            </w:r>
          </w:p>
        </w:tc>
      </w:tr>
      <w:tr w:rsidR="00AD706B" w14:paraId="780D73EB" w14:textId="77777777" w:rsidTr="0071629B">
        <w:tc>
          <w:tcPr>
            <w:tcW w:w="253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7038" w:type="dxa"/>
          </w:tcPr>
          <w:p w14:paraId="780D73EA" w14:textId="14F31BE2" w:rsidR="00AD706B" w:rsidRDefault="0095133C" w:rsidP="00CD7069">
            <w:pPr>
              <w:pStyle w:val="NoSpacing"/>
            </w:pPr>
            <w:r>
              <w:t>A</w:t>
            </w:r>
            <w:r w:rsidRPr="0095133C">
              <w:t>mbulatory</w:t>
            </w:r>
          </w:p>
        </w:tc>
      </w:tr>
      <w:tr w:rsidR="00AD706B" w14:paraId="780D73EE" w14:textId="77777777" w:rsidTr="0071629B">
        <w:tc>
          <w:tcPr>
            <w:tcW w:w="253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7038" w:type="dxa"/>
          </w:tcPr>
          <w:p w14:paraId="780D73ED" w14:textId="1D0D9D09" w:rsidR="00AD706B" w:rsidRDefault="00AF3A3D" w:rsidP="00AF3A3D">
            <w:pPr>
              <w:pStyle w:val="NoSpacing"/>
            </w:pPr>
            <w:r>
              <w:t>Administ</w:t>
            </w:r>
            <w:r w:rsidR="0095133C">
              <w:t>rative/Clinical data sources</w:t>
            </w:r>
          </w:p>
        </w:tc>
      </w:tr>
      <w:tr w:rsidR="00C10B89" w14:paraId="780D740D" w14:textId="77777777" w:rsidTr="0071629B">
        <w:tc>
          <w:tcPr>
            <w:tcW w:w="2538" w:type="dxa"/>
          </w:tcPr>
          <w:p w14:paraId="780D73EF" w14:textId="6890B759" w:rsidR="00C10B89" w:rsidRPr="00717546" w:rsidRDefault="00C10B89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7038" w:type="dxa"/>
          </w:tcPr>
          <w:p w14:paraId="78C79FE4" w14:textId="77777777" w:rsidR="00C10B89" w:rsidRDefault="00C10B89" w:rsidP="003546A9">
            <w:pPr>
              <w:pStyle w:val="NoSpacing"/>
            </w:pPr>
            <w:r>
              <w:t>All denominator subsets are permissible for this outcome</w:t>
            </w:r>
          </w:p>
          <w:p w14:paraId="780D740C" w14:textId="451F2892" w:rsidR="00C10B89" w:rsidRDefault="00C10B89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  <w:bookmarkStart w:id="0" w:name="_GoBack"/>
      <w:bookmarkEnd w:id="0"/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0D50" w14:textId="77777777" w:rsidR="00AA0CA2" w:rsidRDefault="00AA0CA2" w:rsidP="00F63191">
      <w:pPr>
        <w:spacing w:after="0" w:line="240" w:lineRule="auto"/>
      </w:pPr>
      <w:r>
        <w:separator/>
      </w:r>
    </w:p>
  </w:endnote>
  <w:endnote w:type="continuationSeparator" w:id="0">
    <w:p w14:paraId="6874F4CE" w14:textId="77777777" w:rsidR="00AA0CA2" w:rsidRDefault="00AA0CA2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1FC87" w14:textId="07012FDC" w:rsidR="00507A02" w:rsidRDefault="00507A02">
    <w:pPr>
      <w:pStyle w:val="Footer"/>
    </w:pPr>
    <w:r>
      <w:t>09/</w:t>
    </w:r>
    <w:r w:rsidR="001B05B1">
      <w:t>25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7430" w14:textId="77777777" w:rsidR="00AA0CA2" w:rsidRDefault="00AA0CA2" w:rsidP="00F63191">
      <w:pPr>
        <w:spacing w:after="0" w:line="240" w:lineRule="auto"/>
      </w:pPr>
      <w:r>
        <w:separator/>
      </w:r>
    </w:p>
  </w:footnote>
  <w:footnote w:type="continuationSeparator" w:id="0">
    <w:p w14:paraId="0004FE95" w14:textId="77777777" w:rsidR="00AA0CA2" w:rsidRDefault="00AA0CA2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464A3CF0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75890"/>
    <w:multiLevelType w:val="hybridMultilevel"/>
    <w:tmpl w:val="66B2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F7652"/>
    <w:multiLevelType w:val="hybridMultilevel"/>
    <w:tmpl w:val="F92ED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43E89"/>
    <w:rsid w:val="00165D76"/>
    <w:rsid w:val="001B05B1"/>
    <w:rsid w:val="001D6BEA"/>
    <w:rsid w:val="001E66AD"/>
    <w:rsid w:val="002224F0"/>
    <w:rsid w:val="00245754"/>
    <w:rsid w:val="00271E53"/>
    <w:rsid w:val="002845C2"/>
    <w:rsid w:val="002E14AF"/>
    <w:rsid w:val="003116A0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E7F26"/>
    <w:rsid w:val="00502BE4"/>
    <w:rsid w:val="00506BC5"/>
    <w:rsid w:val="00507A02"/>
    <w:rsid w:val="00534262"/>
    <w:rsid w:val="00536799"/>
    <w:rsid w:val="00561D6D"/>
    <w:rsid w:val="005802A0"/>
    <w:rsid w:val="005857E6"/>
    <w:rsid w:val="005B79DD"/>
    <w:rsid w:val="005C70A1"/>
    <w:rsid w:val="005F4D43"/>
    <w:rsid w:val="00637F54"/>
    <w:rsid w:val="0071629B"/>
    <w:rsid w:val="007164C7"/>
    <w:rsid w:val="00743628"/>
    <w:rsid w:val="00760D27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92172C"/>
    <w:rsid w:val="0095133C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11BD9"/>
    <w:rsid w:val="00A82574"/>
    <w:rsid w:val="00AA0CA2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BE46AE"/>
    <w:rsid w:val="00C01E6F"/>
    <w:rsid w:val="00C10B89"/>
    <w:rsid w:val="00C36D72"/>
    <w:rsid w:val="00C62DE8"/>
    <w:rsid w:val="00C85047"/>
    <w:rsid w:val="00C86C48"/>
    <w:rsid w:val="00C9758A"/>
    <w:rsid w:val="00CA2D3E"/>
    <w:rsid w:val="00CA4C08"/>
    <w:rsid w:val="00CC28BC"/>
    <w:rsid w:val="00CD7069"/>
    <w:rsid w:val="00D1777E"/>
    <w:rsid w:val="00D50949"/>
    <w:rsid w:val="00D63CD3"/>
    <w:rsid w:val="00DB7651"/>
    <w:rsid w:val="00DE660A"/>
    <w:rsid w:val="00E1692C"/>
    <w:rsid w:val="00E43145"/>
    <w:rsid w:val="00E610EF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qualityforum.org/QPS/139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7A81016-A5E3-40E2-9103-03A69483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2014-09-25T19:36:00Z</dcterms:created>
  <dcterms:modified xsi:type="dcterms:W3CDTF">2014-09-25T19:36:00Z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