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3641D660" w:rsidR="00AD706B" w:rsidRDefault="00AD706B" w:rsidP="00AD706B">
      <w:pPr>
        <w:pStyle w:val="Heading1"/>
      </w:pPr>
      <w:r>
        <w:t>IT-</w:t>
      </w:r>
      <w:r w:rsidR="007E491F">
        <w:t>8.2</w:t>
      </w:r>
      <w:r>
        <w:t xml:space="preserve">:  </w:t>
      </w:r>
      <w:r w:rsidR="007E491F" w:rsidRPr="007E491F">
        <w:t xml:space="preserve">Percentage of Low </w:t>
      </w:r>
      <w:proofErr w:type="spellStart"/>
      <w:r w:rsidR="007E491F" w:rsidRPr="007E491F">
        <w:t>Birthweight</w:t>
      </w:r>
      <w:proofErr w:type="spellEnd"/>
      <w:r w:rsidR="007E491F" w:rsidRPr="007E491F">
        <w:t xml:space="preserve"> births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80D73B5" w14:textId="77777777" w:rsidTr="00C95E35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50EA029F" w:rsidR="00AD706B" w:rsidRPr="00BA402E" w:rsidRDefault="00BA402E" w:rsidP="00B05CBF">
            <w:pPr>
              <w:pStyle w:val="NoSpacing"/>
              <w:rPr>
                <w:b/>
              </w:rPr>
            </w:pPr>
            <w:r w:rsidRPr="00C95E35">
              <w:rPr>
                <w:b/>
              </w:rPr>
              <w:t xml:space="preserve">IT-8.2 </w:t>
            </w:r>
            <w:r w:rsidR="003F282E" w:rsidRPr="00C95E35">
              <w:rPr>
                <w:b/>
              </w:rPr>
              <w:t>Percentage of Low Birth- weight births</w:t>
            </w:r>
          </w:p>
        </w:tc>
      </w:tr>
      <w:tr w:rsidR="00AD706B" w14:paraId="780D73B8" w14:textId="77777777" w:rsidTr="00C95E35">
        <w:tc>
          <w:tcPr>
            <w:tcW w:w="271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80D73B7" w14:textId="7AF54EFA" w:rsidR="00AD706B" w:rsidRDefault="007B34D5" w:rsidP="00B05CBF">
            <w:pPr>
              <w:pStyle w:val="NoSpacing"/>
            </w:pPr>
            <w:r w:rsidRPr="007B34D5">
              <w:t>The percentage of births with birthweight &lt;2,500 grams</w:t>
            </w:r>
          </w:p>
        </w:tc>
      </w:tr>
      <w:tr w:rsidR="00AD706B" w14:paraId="780D73BB" w14:textId="77777777" w:rsidTr="00C95E35">
        <w:tc>
          <w:tcPr>
            <w:tcW w:w="271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3352E9F7" w:rsidR="00AD706B" w:rsidRDefault="007B34D5" w:rsidP="00B05CBF">
            <w:pPr>
              <w:pStyle w:val="NoSpacing"/>
            </w:pPr>
            <w:r w:rsidRPr="007B34D5">
              <w:t>1382</w:t>
            </w:r>
          </w:p>
        </w:tc>
      </w:tr>
      <w:tr w:rsidR="00AD706B" w14:paraId="780D73BE" w14:textId="77777777" w:rsidTr="00C95E35">
        <w:tc>
          <w:tcPr>
            <w:tcW w:w="271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34FE797F" w:rsidR="00AD706B" w:rsidRPr="00631E85" w:rsidRDefault="007B34D5" w:rsidP="00A374B8">
            <w:pPr>
              <w:pStyle w:val="NoSpacing"/>
            </w:pPr>
            <w:r>
              <w:rPr>
                <w:rStyle w:val="qps-blocker-label-detail-text"/>
              </w:rPr>
              <w:t>Centers for Disease Control and Prevention</w:t>
            </w:r>
          </w:p>
        </w:tc>
      </w:tr>
      <w:tr w:rsidR="00AD706B" w14:paraId="780D73C1" w14:textId="77777777" w:rsidTr="00C95E35">
        <w:tc>
          <w:tcPr>
            <w:tcW w:w="271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80D73C0" w14:textId="53CB7833" w:rsidR="007B34D5" w:rsidRPr="00631E85" w:rsidRDefault="00C0542D" w:rsidP="007B34D5">
            <w:pPr>
              <w:pStyle w:val="NoSpacing"/>
            </w:pPr>
            <w:hyperlink r:id="rId12" w:history="1">
              <w:r w:rsidR="007B34D5" w:rsidRPr="00380B18">
                <w:rPr>
                  <w:rStyle w:val="Hyperlink"/>
                </w:rPr>
                <w:t>https://www.qualityforum.org/QPS/1382</w:t>
              </w:r>
            </w:hyperlink>
          </w:p>
        </w:tc>
      </w:tr>
      <w:tr w:rsidR="00AD706B" w14:paraId="780D73C4" w14:textId="77777777" w:rsidTr="00C95E35">
        <w:tc>
          <w:tcPr>
            <w:tcW w:w="2718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53293B76" w:rsidR="00AD706B" w:rsidRDefault="00AD706B" w:rsidP="007B34D5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AC738B" w14:paraId="780D73C7" w14:textId="77777777" w:rsidTr="00C95E35">
        <w:tc>
          <w:tcPr>
            <w:tcW w:w="2718" w:type="dxa"/>
          </w:tcPr>
          <w:p w14:paraId="780D73C5" w14:textId="721399FA" w:rsidR="00AC738B" w:rsidRDefault="00AC738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4E66B3D9" w14:textId="77777777" w:rsidR="00AC738B" w:rsidRDefault="00AC738B" w:rsidP="003546A9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AC738B" w:rsidRPr="008331B0" w14:paraId="4E010DC5" w14:textId="77777777" w:rsidTr="003546A9">
              <w:tc>
                <w:tcPr>
                  <w:tcW w:w="2209" w:type="dxa"/>
                </w:tcPr>
                <w:p w14:paraId="550E6D50" w14:textId="77777777" w:rsidR="00AC738B" w:rsidRPr="008331B0" w:rsidRDefault="00AC738B" w:rsidP="003546A9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25847BF8" w14:textId="77777777" w:rsidR="00AC738B" w:rsidRPr="008331B0" w:rsidRDefault="00AC738B" w:rsidP="003546A9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66948DC4" w14:textId="77777777" w:rsidR="00AC738B" w:rsidRPr="008331B0" w:rsidRDefault="00AC738B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6C0F8CA4" w14:textId="77777777" w:rsidR="00AC738B" w:rsidRPr="008331B0" w:rsidRDefault="00AC738B" w:rsidP="003546A9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2B9353C2" w14:textId="77777777" w:rsidR="00AC738B" w:rsidRPr="008331B0" w:rsidRDefault="00AC738B" w:rsidP="003546A9">
                  <w:pPr>
                    <w:pStyle w:val="NoSpacing"/>
                    <w:jc w:val="center"/>
                  </w:pPr>
                </w:p>
              </w:tc>
            </w:tr>
            <w:tr w:rsidR="00AC738B" w:rsidRPr="008331B0" w14:paraId="51E58F6B" w14:textId="77777777" w:rsidTr="003546A9">
              <w:tc>
                <w:tcPr>
                  <w:tcW w:w="2209" w:type="dxa"/>
                </w:tcPr>
                <w:p w14:paraId="197A25AC" w14:textId="77777777" w:rsidR="00AC738B" w:rsidRPr="008331B0" w:rsidRDefault="00AC738B" w:rsidP="003546A9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7E03E88F" w14:textId="39B459C0" w:rsidR="00AC738B" w:rsidRDefault="00AC738B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5% *(performance gap) </w:t>
                  </w:r>
                </w:p>
                <w:p w14:paraId="76FDB52D" w14:textId="77777777" w:rsidR="00AC738B" w:rsidRDefault="00AC738B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7E1C6985" w14:textId="14E8A3BD" w:rsidR="00AC738B" w:rsidRPr="008331B0" w:rsidRDefault="00AC738B" w:rsidP="00C0542D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5% *(</w:t>
                  </w:r>
                  <w:bookmarkStart w:id="0" w:name="_GoBack"/>
                  <w:bookmarkEnd w:id="0"/>
                  <w:r w:rsidRPr="004B796E">
                    <w:t xml:space="preserve">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2308FBFE" w14:textId="035BC8D3" w:rsidR="00AC738B" w:rsidRDefault="00AC738B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2AB80FAC" w14:textId="77777777" w:rsidR="00AC738B" w:rsidRDefault="00AC738B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723E0F80" w14:textId="0D8A7CF6" w:rsidR="00AC738B" w:rsidRPr="008331B0" w:rsidRDefault="00AC738B" w:rsidP="00C0542D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-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780D73C6" w14:textId="75071383" w:rsidR="00AC738B" w:rsidRDefault="00AC738B" w:rsidP="007B34D5">
            <w:pPr>
              <w:pStyle w:val="NoSpacing"/>
            </w:pPr>
          </w:p>
        </w:tc>
      </w:tr>
      <w:tr w:rsidR="00AD706B" w14:paraId="780D73D0" w14:textId="77777777" w:rsidTr="00C95E35">
        <w:tc>
          <w:tcPr>
            <w:tcW w:w="271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80D73CB" w14:textId="25140978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780D73CF" w14:textId="41BDAFF4" w:rsidR="009F78A7" w:rsidRDefault="007B34D5" w:rsidP="007B34D5">
            <w:pPr>
              <w:pStyle w:val="NoSpacing"/>
              <w:numPr>
                <w:ilvl w:val="0"/>
                <w:numId w:val="9"/>
              </w:numPr>
            </w:pPr>
            <w:r w:rsidRPr="007B34D5">
              <w:t>Removed language specifying the "study population"</w:t>
            </w:r>
          </w:p>
        </w:tc>
      </w:tr>
      <w:tr w:rsidR="00AD706B" w14:paraId="780D73D3" w14:textId="77777777" w:rsidTr="00C95E35">
        <w:tc>
          <w:tcPr>
            <w:tcW w:w="271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5A9AC27D" w:rsidR="00AD706B" w:rsidRPr="009F7E66" w:rsidRDefault="007B34D5" w:rsidP="007B34D5">
            <w:pPr>
              <w:pStyle w:val="NoSpacing"/>
            </w:pPr>
            <w:r>
              <w:t xml:space="preserve">All births </w:t>
            </w:r>
          </w:p>
        </w:tc>
      </w:tr>
      <w:tr w:rsidR="00787D45" w14:paraId="780D73D6" w14:textId="77777777" w:rsidTr="00C95E35">
        <w:trPr>
          <w:trHeight w:val="728"/>
        </w:trPr>
        <w:tc>
          <w:tcPr>
            <w:tcW w:w="271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7876DBE2" w:rsidR="00787D45" w:rsidRPr="0012650D" w:rsidRDefault="00787D45" w:rsidP="007B34D5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7B34D5">
              <w:t>n the denominator description.</w:t>
            </w:r>
          </w:p>
        </w:tc>
      </w:tr>
      <w:tr w:rsidR="00787D45" w14:paraId="780D73D9" w14:textId="77777777" w:rsidTr="00C95E35">
        <w:trPr>
          <w:trHeight w:val="710"/>
        </w:trPr>
        <w:tc>
          <w:tcPr>
            <w:tcW w:w="271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80D73D8" w14:textId="5E238E2B" w:rsidR="00787D45" w:rsidRPr="001D6BEA" w:rsidRDefault="00787D45" w:rsidP="007B34D5">
            <w:pPr>
              <w:pStyle w:val="NoSpacing"/>
            </w:pPr>
            <w:r>
              <w:t>The Measure Steward does not identify specific denominator exclusions beyond what is described i</w:t>
            </w:r>
            <w:r w:rsidR="007B34D5">
              <w:t>n the denominator description.</w:t>
            </w:r>
          </w:p>
        </w:tc>
      </w:tr>
      <w:tr w:rsidR="00D63CD3" w14:paraId="780D73DF" w14:textId="77777777" w:rsidTr="00C95E35">
        <w:tc>
          <w:tcPr>
            <w:tcW w:w="271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C95E35">
        <w:tc>
          <w:tcPr>
            <w:tcW w:w="271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780D73E1" w14:textId="163BA899" w:rsidR="00AC3A97" w:rsidRPr="009F7E66" w:rsidRDefault="00AC738B" w:rsidP="007B34D5">
            <w:pPr>
              <w:pStyle w:val="NoSpacing"/>
            </w:pPr>
            <w:r>
              <w:rPr>
                <w:rFonts w:ascii="Helvetica" w:hAnsi="Helvetica" w:cs="Helvetica"/>
                <w:color w:val="333333"/>
                <w:spacing w:val="8"/>
                <w:sz w:val="21"/>
                <w:szCs w:val="21"/>
                <w:shd w:val="clear" w:color="auto" w:fill="FFFFFF"/>
              </w:rPr>
              <w:t>The number of babies born weighing &lt;2,500 grams at birth</w:t>
            </w:r>
          </w:p>
        </w:tc>
      </w:tr>
      <w:tr w:rsidR="007B34D5" w14:paraId="780D73E5" w14:textId="77777777" w:rsidTr="00C95E35">
        <w:tc>
          <w:tcPr>
            <w:tcW w:w="2718" w:type="dxa"/>
          </w:tcPr>
          <w:p w14:paraId="780D73E3" w14:textId="77777777" w:rsidR="007B34D5" w:rsidRPr="00717546" w:rsidRDefault="007B34D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80D73E4" w14:textId="4BBF16E7" w:rsidR="007B34D5" w:rsidRPr="0012650D" w:rsidRDefault="007B34D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B34D5" w14:paraId="780D73E8" w14:textId="77777777" w:rsidTr="00C95E35">
        <w:tc>
          <w:tcPr>
            <w:tcW w:w="2718" w:type="dxa"/>
          </w:tcPr>
          <w:p w14:paraId="780D73E6" w14:textId="77777777" w:rsidR="007B34D5" w:rsidRPr="00717546" w:rsidRDefault="007B34D5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Exclusions</w:t>
            </w:r>
          </w:p>
        </w:tc>
        <w:tc>
          <w:tcPr>
            <w:tcW w:w="6858" w:type="dxa"/>
          </w:tcPr>
          <w:p w14:paraId="780D73E7" w14:textId="7DD11FB7" w:rsidR="007B34D5" w:rsidRPr="001D6BEA" w:rsidRDefault="007B34D5" w:rsidP="002F15E3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AD706B" w14:paraId="780D73EB" w14:textId="77777777" w:rsidTr="00C95E35">
        <w:tc>
          <w:tcPr>
            <w:tcW w:w="271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3CABD542" w:rsidR="00AD706B" w:rsidRDefault="007B34D5" w:rsidP="007B34D5">
            <w:pPr>
              <w:pStyle w:val="NoSpacing"/>
            </w:pPr>
            <w:r>
              <w:t>Inpatient</w:t>
            </w:r>
          </w:p>
        </w:tc>
      </w:tr>
      <w:tr w:rsidR="00AD706B" w14:paraId="780D73EE" w14:textId="77777777" w:rsidTr="00C95E35">
        <w:tc>
          <w:tcPr>
            <w:tcW w:w="271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3C55652D" w:rsidR="00AD706B" w:rsidRDefault="007B34D5" w:rsidP="00425E5C">
            <w:pPr>
              <w:pStyle w:val="NoSpacing"/>
            </w:pPr>
            <w:r>
              <w:t>Patient Reported Data/</w:t>
            </w:r>
            <w:r w:rsidR="00425E5C">
              <w:t>Vital Statistics Data</w:t>
            </w:r>
          </w:p>
        </w:tc>
      </w:tr>
      <w:tr w:rsidR="00AC738B" w14:paraId="780D740D" w14:textId="77777777" w:rsidTr="00C95E35">
        <w:tc>
          <w:tcPr>
            <w:tcW w:w="2718" w:type="dxa"/>
          </w:tcPr>
          <w:p w14:paraId="780D73EF" w14:textId="09BFC5C2" w:rsidR="00AC738B" w:rsidRPr="00717546" w:rsidRDefault="00AC738B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74FD42BF" w14:textId="77777777" w:rsidR="00AC738B" w:rsidRDefault="00AC738B" w:rsidP="003546A9">
            <w:pPr>
              <w:pStyle w:val="NoSpacing"/>
            </w:pPr>
            <w:r>
              <w:t>All denominator subsets are permissible for this outcome</w:t>
            </w:r>
          </w:p>
          <w:p w14:paraId="780D740C" w14:textId="07BB4C98" w:rsidR="00AC738B" w:rsidRDefault="00AC738B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0D50" w14:textId="77777777" w:rsidR="00AA0CA2" w:rsidRDefault="00AA0CA2" w:rsidP="00F63191">
      <w:pPr>
        <w:spacing w:after="0" w:line="240" w:lineRule="auto"/>
      </w:pPr>
      <w:r>
        <w:separator/>
      </w:r>
    </w:p>
  </w:endnote>
  <w:endnote w:type="continuationSeparator" w:id="0">
    <w:p w14:paraId="6874F4CE" w14:textId="77777777" w:rsidR="00AA0CA2" w:rsidRDefault="00AA0CA2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7418" w14:textId="08C802A8" w:rsidR="005D6623" w:rsidRDefault="005D6623">
    <w:pPr>
      <w:pStyle w:val="Footer"/>
    </w:pPr>
    <w:r>
      <w:t>09/</w:t>
    </w:r>
    <w:r w:rsidR="005A1313">
      <w:t>25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7430" w14:textId="77777777" w:rsidR="00AA0CA2" w:rsidRDefault="00AA0CA2" w:rsidP="00F63191">
      <w:pPr>
        <w:spacing w:after="0" w:line="240" w:lineRule="auto"/>
      </w:pPr>
      <w:r>
        <w:separator/>
      </w:r>
    </w:p>
  </w:footnote>
  <w:footnote w:type="continuationSeparator" w:id="0">
    <w:p w14:paraId="0004FE95" w14:textId="77777777" w:rsidR="00AA0CA2" w:rsidRDefault="00AA0CA2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7F4C129B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D6BEA"/>
    <w:rsid w:val="002224F0"/>
    <w:rsid w:val="00245754"/>
    <w:rsid w:val="00271E53"/>
    <w:rsid w:val="002845C2"/>
    <w:rsid w:val="002D65C4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282E"/>
    <w:rsid w:val="003F4E8D"/>
    <w:rsid w:val="00416E44"/>
    <w:rsid w:val="00425E5C"/>
    <w:rsid w:val="004E7F26"/>
    <w:rsid w:val="00502BE4"/>
    <w:rsid w:val="00506BC5"/>
    <w:rsid w:val="00536799"/>
    <w:rsid w:val="00542473"/>
    <w:rsid w:val="00561D6D"/>
    <w:rsid w:val="005802A0"/>
    <w:rsid w:val="005857E6"/>
    <w:rsid w:val="005A1313"/>
    <w:rsid w:val="005B79DD"/>
    <w:rsid w:val="005C70A1"/>
    <w:rsid w:val="005D6623"/>
    <w:rsid w:val="005F4D43"/>
    <w:rsid w:val="00670A39"/>
    <w:rsid w:val="0071629B"/>
    <w:rsid w:val="007164C7"/>
    <w:rsid w:val="00743628"/>
    <w:rsid w:val="00760D27"/>
    <w:rsid w:val="00787D45"/>
    <w:rsid w:val="007B34D5"/>
    <w:rsid w:val="007C728B"/>
    <w:rsid w:val="007C7C85"/>
    <w:rsid w:val="007E0395"/>
    <w:rsid w:val="007E491F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C738B"/>
    <w:rsid w:val="00AD706B"/>
    <w:rsid w:val="00AF3A3D"/>
    <w:rsid w:val="00B05CBF"/>
    <w:rsid w:val="00B20462"/>
    <w:rsid w:val="00B546CF"/>
    <w:rsid w:val="00B65D92"/>
    <w:rsid w:val="00B7257A"/>
    <w:rsid w:val="00BA402E"/>
    <w:rsid w:val="00BA61F1"/>
    <w:rsid w:val="00BC4643"/>
    <w:rsid w:val="00C01E6F"/>
    <w:rsid w:val="00C0542D"/>
    <w:rsid w:val="00C36D72"/>
    <w:rsid w:val="00C86C48"/>
    <w:rsid w:val="00C95E35"/>
    <w:rsid w:val="00C9758A"/>
    <w:rsid w:val="00CA2D3E"/>
    <w:rsid w:val="00CA4C08"/>
    <w:rsid w:val="00CC28BC"/>
    <w:rsid w:val="00CD7069"/>
    <w:rsid w:val="00D1777E"/>
    <w:rsid w:val="00D63CD3"/>
    <w:rsid w:val="00DB7651"/>
    <w:rsid w:val="00DE18E9"/>
    <w:rsid w:val="00DE660A"/>
    <w:rsid w:val="00E1692C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customStyle="1" w:styleId="qps-blocker-label-detail-text">
    <w:name w:val="qps-blocker-label-detail-text"/>
    <w:basedOn w:val="DefaultParagraphFont"/>
    <w:rsid w:val="007B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customStyle="1" w:styleId="qps-blocker-label-detail-text">
    <w:name w:val="qps-blocker-label-detail-text"/>
    <w:basedOn w:val="DefaultParagraphFont"/>
    <w:rsid w:val="007B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138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060EA-3789-4AF2-873D-8D9622D3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2014-09-25T19:21:00Z</dcterms:created>
  <dcterms:modified xsi:type="dcterms:W3CDTF">2014-09-25T19:23:00Z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