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Pr="000901C7" w:rsidRDefault="00AD706B" w:rsidP="00AD706B">
      <w:pPr>
        <w:pStyle w:val="Heading1"/>
      </w:pPr>
      <w:r>
        <w:t>I</w:t>
      </w:r>
      <w:r w:rsidR="000901C7">
        <w:t>T-8.</w:t>
      </w:r>
      <w:r w:rsidR="003C7AE1">
        <w:t>22</w:t>
      </w:r>
      <w:r>
        <w:t xml:space="preserve">: </w:t>
      </w:r>
      <w:r w:rsidR="000901C7" w:rsidRPr="000901C7">
        <w:t>Well-Child Visits in the Third, Fourth, Fifth and Sixth Years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949"/>
      </w:tblGrid>
      <w:tr w:rsidR="00AD706B" w:rsidTr="003C32B5">
        <w:trPr>
          <w:tblHeader/>
        </w:trPr>
        <w:tc>
          <w:tcPr>
            <w:tcW w:w="2627" w:type="dxa"/>
            <w:shd w:val="clear" w:color="auto" w:fill="F2F2F2" w:themeFill="background1" w:themeFillShade="F2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949" w:type="dxa"/>
            <w:shd w:val="clear" w:color="auto" w:fill="F2F2F2" w:themeFill="background1" w:themeFillShade="F2"/>
          </w:tcPr>
          <w:p w:rsidR="00AD706B" w:rsidRPr="000D4B0D" w:rsidRDefault="003C32B5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IT-8.22 </w:t>
            </w:r>
            <w:r w:rsidR="000D4B0D" w:rsidRPr="000D4B0D">
              <w:rPr>
                <w:b/>
              </w:rPr>
              <w:t>Well-Child Visits in the Third, Fourth, Fifth and Sixth Years of Life (W34)</w:t>
            </w: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949" w:type="dxa"/>
          </w:tcPr>
          <w:p w:rsidR="00AD706B" w:rsidRPr="000D4B0D" w:rsidRDefault="000D4B0D" w:rsidP="00B05CBF">
            <w:pPr>
              <w:pStyle w:val="NoSpacing"/>
            </w:pPr>
            <w:r w:rsidRPr="000D4B0D">
              <w:t>Percentage of patients 3–6 years of age who received one or more well-child visits with a PCP during the measurement year.</w:t>
            </w: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949" w:type="dxa"/>
          </w:tcPr>
          <w:p w:rsidR="00AD706B" w:rsidRDefault="000D4B0D" w:rsidP="00B05CBF">
            <w:pPr>
              <w:pStyle w:val="NoSpacing"/>
            </w:pPr>
            <w:r>
              <w:t>1516</w:t>
            </w: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949" w:type="dxa"/>
          </w:tcPr>
          <w:p w:rsidR="00AD706B" w:rsidRPr="00631E85" w:rsidRDefault="000D4B0D" w:rsidP="000901C7">
            <w:pPr>
              <w:pStyle w:val="NoSpacing"/>
            </w:pPr>
            <w:r>
              <w:t>National Committee for Quality Assurance</w:t>
            </w:r>
          </w:p>
        </w:tc>
      </w:tr>
      <w:tr w:rsidR="00AD706B" w:rsidTr="003C32B5">
        <w:tc>
          <w:tcPr>
            <w:tcW w:w="2627" w:type="dxa"/>
          </w:tcPr>
          <w:p w:rsidR="00AD706B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949" w:type="dxa"/>
          </w:tcPr>
          <w:p w:rsidR="00AD706B" w:rsidRPr="000D4B0D" w:rsidRDefault="00F606FC" w:rsidP="000901C7">
            <w:pPr>
              <w:pStyle w:val="NoSpacing"/>
            </w:pPr>
            <w:hyperlink r:id="rId12" w:history="1">
              <w:r w:rsidR="000D4B0D" w:rsidRPr="00BE24DB">
                <w:rPr>
                  <w:rStyle w:val="Hyperlink"/>
                </w:rPr>
                <w:t>http://www.qualityforum.org/QPS/1516</w:t>
              </w:r>
            </w:hyperlink>
            <w:r w:rsidR="000D4B0D">
              <w:t xml:space="preserve"> </w:t>
            </w:r>
          </w:p>
        </w:tc>
      </w:tr>
      <w:tr w:rsidR="00AD706B" w:rsidTr="003C32B5">
        <w:tc>
          <w:tcPr>
            <w:tcW w:w="2627" w:type="dxa"/>
          </w:tcPr>
          <w:p w:rsidR="00AD706B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949" w:type="dxa"/>
          </w:tcPr>
          <w:p w:rsidR="00AD706B" w:rsidRDefault="00165D76" w:rsidP="000D4B0D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3C32B5" w:rsidTr="003C32B5">
        <w:tc>
          <w:tcPr>
            <w:tcW w:w="2627" w:type="dxa"/>
          </w:tcPr>
          <w:p w:rsidR="003C32B5" w:rsidRDefault="003C32B5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  <w:bookmarkStart w:id="0" w:name="_GoBack"/>
            <w:bookmarkEnd w:id="0"/>
          </w:p>
        </w:tc>
        <w:tc>
          <w:tcPr>
            <w:tcW w:w="6949" w:type="dxa"/>
          </w:tcPr>
          <w:p w:rsidR="003C32B5" w:rsidRDefault="003C32B5" w:rsidP="0026171F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3C32B5" w:rsidTr="0026171F">
              <w:tc>
                <w:tcPr>
                  <w:tcW w:w="1880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:rsidR="003C32B5" w:rsidRPr="00791AAE" w:rsidRDefault="003C32B5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:rsidR="003C32B5" w:rsidRPr="00791AAE" w:rsidRDefault="003C32B5" w:rsidP="0026171F">
                  <w:pPr>
                    <w:pStyle w:val="NoSpacing"/>
                    <w:jc w:val="center"/>
                  </w:pPr>
                </w:p>
              </w:tc>
            </w:tr>
            <w:tr w:rsidR="003C32B5" w:rsidTr="0026171F">
              <w:tc>
                <w:tcPr>
                  <w:tcW w:w="1880" w:type="dxa"/>
                  <w:vMerge w:val="restart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:rsidR="003C32B5" w:rsidRPr="00791AAE" w:rsidRDefault="003C32B5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3C32B5" w:rsidRDefault="003C32B5" w:rsidP="0026171F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3C32B5" w:rsidTr="0026171F">
              <w:tc>
                <w:tcPr>
                  <w:tcW w:w="1880" w:type="dxa"/>
                  <w:vMerge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3C32B5" w:rsidRDefault="003C32B5" w:rsidP="0026171F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:rsidR="003C32B5" w:rsidRDefault="003C32B5" w:rsidP="00967948">
            <w:pPr>
              <w:pStyle w:val="NoSpacing"/>
            </w:pPr>
          </w:p>
        </w:tc>
      </w:tr>
      <w:tr w:rsidR="003C32B5" w:rsidTr="003C32B5">
        <w:tc>
          <w:tcPr>
            <w:tcW w:w="2627" w:type="dxa"/>
          </w:tcPr>
          <w:p w:rsidR="003C32B5" w:rsidRDefault="003C32B5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949" w:type="dxa"/>
          </w:tcPr>
          <w:tbl>
            <w:tblPr>
              <w:tblStyle w:val="TableGrid"/>
              <w:tblW w:w="6637" w:type="dxa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3C32B5" w:rsidTr="0026171F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:rsidR="003C32B5" w:rsidRPr="00791AAE" w:rsidRDefault="003C32B5" w:rsidP="00583483">
                  <w:pPr>
                    <w:pStyle w:val="NoSpacing"/>
                    <w:jc w:val="center"/>
                  </w:pPr>
                  <w:r w:rsidRPr="00E3780B">
                    <w:t>NCQA</w:t>
                  </w:r>
                  <w:r>
                    <w:t xml:space="preserve"> Quality Compass</w:t>
                  </w:r>
                </w:p>
              </w:tc>
            </w:tr>
            <w:tr w:rsidR="003C32B5" w:rsidTr="0026171F">
              <w:tc>
                <w:tcPr>
                  <w:tcW w:w="3397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82.94%</w:t>
                  </w:r>
                </w:p>
              </w:tc>
            </w:tr>
            <w:tr w:rsidR="003C32B5" w:rsidTr="0026171F">
              <w:tc>
                <w:tcPr>
                  <w:tcW w:w="3397" w:type="dxa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:rsidR="003C32B5" w:rsidRPr="00791AAE" w:rsidRDefault="003C32B5" w:rsidP="0026171F">
                  <w:pPr>
                    <w:pStyle w:val="NoSpacing"/>
                    <w:jc w:val="center"/>
                  </w:pPr>
                  <w:r>
                    <w:t>65.51%</w:t>
                  </w:r>
                </w:p>
              </w:tc>
            </w:tr>
          </w:tbl>
          <w:p w:rsidR="003C32B5" w:rsidRDefault="003C32B5" w:rsidP="00967948">
            <w:pPr>
              <w:pStyle w:val="NoSpacing"/>
            </w:pP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949" w:type="dxa"/>
          </w:tcPr>
          <w:p w:rsidR="009F78A7" w:rsidRDefault="00BD2692" w:rsidP="00BD2692">
            <w:pPr>
              <w:pStyle w:val="NoSpacing"/>
            </w:pPr>
            <w:r>
              <w:t>None</w:t>
            </w: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949" w:type="dxa"/>
          </w:tcPr>
          <w:p w:rsidR="00AD706B" w:rsidRPr="003F6DAE" w:rsidRDefault="003F6DAE" w:rsidP="001D6BEA">
            <w:pPr>
              <w:pStyle w:val="NoSpacing"/>
            </w:pPr>
            <w:r w:rsidRPr="003F6DAE">
              <w:t>Patients age 3-6 years of age.</w:t>
            </w:r>
          </w:p>
        </w:tc>
      </w:tr>
      <w:tr w:rsidR="00B05CBF" w:rsidTr="003C32B5">
        <w:trPr>
          <w:trHeight w:val="728"/>
        </w:trPr>
        <w:tc>
          <w:tcPr>
            <w:tcW w:w="2627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949" w:type="dxa"/>
          </w:tcPr>
          <w:p w:rsidR="00B05CBF" w:rsidRPr="0012650D" w:rsidRDefault="009F04D0" w:rsidP="003F6DAE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B05CBF" w:rsidTr="003C32B5">
        <w:trPr>
          <w:trHeight w:val="710"/>
        </w:trPr>
        <w:tc>
          <w:tcPr>
            <w:tcW w:w="2627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949" w:type="dxa"/>
          </w:tcPr>
          <w:p w:rsidR="00B05CBF" w:rsidRPr="001D6BEA" w:rsidRDefault="009F04D0" w:rsidP="00BD2692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:rsidTr="003C32B5">
        <w:tc>
          <w:tcPr>
            <w:tcW w:w="2627" w:type="dxa"/>
          </w:tcPr>
          <w:p w:rsidR="00D63CD3" w:rsidRDefault="00D63CD3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949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720DB0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 xml:space="preserve">(either 6 or 12-months) where the </w:t>
            </w:r>
            <w:r w:rsidR="0011709A">
              <w:lastRenderedPageBreak/>
              <w:t>denominator size</w:t>
            </w:r>
            <w:r>
              <w:t xml:space="preserve"> is greater than </w:t>
            </w:r>
            <w:r w:rsidR="00720DB0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3C32B5">
        <w:tc>
          <w:tcPr>
            <w:tcW w:w="2627" w:type="dxa"/>
          </w:tcPr>
          <w:p w:rsidR="00AC3A97" w:rsidRPr="00717546" w:rsidRDefault="00AC3A97" w:rsidP="000901C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949" w:type="dxa"/>
          </w:tcPr>
          <w:p w:rsidR="00AC3A97" w:rsidRPr="003F6DAE" w:rsidRDefault="003F6DAE" w:rsidP="000901C7">
            <w:pPr>
              <w:pStyle w:val="NoSpacing"/>
            </w:pPr>
            <w:r w:rsidRPr="003F6DAE">
              <w:t>Received at least one well-child visit with a PCP during the measurement year.</w:t>
            </w:r>
          </w:p>
        </w:tc>
      </w:tr>
      <w:tr w:rsidR="00AC3A97" w:rsidTr="003C32B5">
        <w:tc>
          <w:tcPr>
            <w:tcW w:w="2627" w:type="dxa"/>
          </w:tcPr>
          <w:p w:rsidR="00AC3A97" w:rsidRPr="00717546" w:rsidRDefault="00AC3A97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949" w:type="dxa"/>
          </w:tcPr>
          <w:p w:rsidR="00AC3A97" w:rsidRPr="0012650D" w:rsidRDefault="009F78A7" w:rsidP="002E14AF">
            <w:pPr>
              <w:pStyle w:val="NoSpacing"/>
              <w:rPr>
                <w:b/>
              </w:rPr>
            </w:pPr>
            <w:r>
              <w:t xml:space="preserve">The Measure Steward does not identify </w:t>
            </w:r>
            <w:r w:rsidR="009F04D0">
              <w:t xml:space="preserve">specific </w:t>
            </w:r>
            <w:r>
              <w:t>numerator inclusions</w:t>
            </w:r>
            <w:r w:rsidR="009F04D0">
              <w:t xml:space="preserve"> beyond what is describe</w:t>
            </w:r>
            <w:r w:rsidR="00720DB0">
              <w:t>d in the numerator description.</w:t>
            </w:r>
          </w:p>
        </w:tc>
      </w:tr>
      <w:tr w:rsidR="00AC3A97" w:rsidTr="003C32B5">
        <w:tc>
          <w:tcPr>
            <w:tcW w:w="2627" w:type="dxa"/>
          </w:tcPr>
          <w:p w:rsidR="00AC3A97" w:rsidRPr="00717546" w:rsidRDefault="00AC3A97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949" w:type="dxa"/>
          </w:tcPr>
          <w:p w:rsidR="00AC3A97" w:rsidRPr="001D6BEA" w:rsidRDefault="009F04D0" w:rsidP="00BD2692">
            <w:pPr>
              <w:pStyle w:val="NoSpacing"/>
            </w:pPr>
            <w:r>
              <w:t>The Measure Steward does not identify specific numerator exclusions beyond what is describe</w:t>
            </w:r>
            <w:r w:rsidR="00BD2692">
              <w:t>d in the numerator description.</w:t>
            </w:r>
          </w:p>
        </w:tc>
      </w:tr>
      <w:tr w:rsidR="00AD706B" w:rsidTr="003C32B5">
        <w:tc>
          <w:tcPr>
            <w:tcW w:w="2627" w:type="dxa"/>
          </w:tcPr>
          <w:p w:rsidR="00AD706B" w:rsidRPr="00717546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949" w:type="dxa"/>
          </w:tcPr>
          <w:p w:rsidR="00AD706B" w:rsidRDefault="00AD706B" w:rsidP="00BD2692">
            <w:pPr>
              <w:pStyle w:val="NoSpacing"/>
            </w:pPr>
            <w:r>
              <w:t>Ambulatory</w:t>
            </w:r>
          </w:p>
        </w:tc>
      </w:tr>
      <w:tr w:rsidR="00AD706B" w:rsidTr="003C32B5">
        <w:tc>
          <w:tcPr>
            <w:tcW w:w="2627" w:type="dxa"/>
          </w:tcPr>
          <w:p w:rsidR="00AD706B" w:rsidRDefault="00AD706B" w:rsidP="000901C7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949" w:type="dxa"/>
          </w:tcPr>
          <w:p w:rsidR="00AD706B" w:rsidRPr="00E964E9" w:rsidRDefault="00E964E9" w:rsidP="00AF3A3D">
            <w:pPr>
              <w:pStyle w:val="NoSpacing"/>
            </w:pPr>
            <w:r w:rsidRPr="00E964E9">
              <w:t>Administrative claims, Electronic Clinical Data, Paper Medical Records</w:t>
            </w:r>
          </w:p>
        </w:tc>
      </w:tr>
      <w:tr w:rsidR="003C32B5" w:rsidTr="003C32B5">
        <w:tc>
          <w:tcPr>
            <w:tcW w:w="2627" w:type="dxa"/>
          </w:tcPr>
          <w:p w:rsidR="003C32B5" w:rsidRPr="00717546" w:rsidRDefault="003C32B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949" w:type="dxa"/>
          </w:tcPr>
          <w:p w:rsidR="003C32B5" w:rsidRDefault="003C32B5" w:rsidP="0026171F">
            <w:pPr>
              <w:pStyle w:val="NoSpacing"/>
            </w:pPr>
            <w:r>
              <w:t>All denominator subsets are permissible for this outcome</w:t>
            </w:r>
          </w:p>
          <w:p w:rsidR="003C32B5" w:rsidRDefault="003C32B5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 w:rsidSect="00D92FD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86" w:rsidRDefault="00955686" w:rsidP="00F63191">
      <w:pPr>
        <w:spacing w:after="0" w:line="240" w:lineRule="auto"/>
      </w:pPr>
      <w:r>
        <w:separator/>
      </w:r>
    </w:p>
  </w:endnote>
  <w:endnote w:type="continuationSeparator" w:id="0">
    <w:p w:rsidR="00955686" w:rsidRDefault="00955686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Footer"/>
    </w:pPr>
    <w:r>
      <w:t>09/</w:t>
    </w:r>
    <w:r w:rsidR="00583483">
      <w:t>2</w:t>
    </w:r>
    <w:r>
      <w:t>5/14</w:t>
    </w:r>
  </w:p>
  <w:p w:rsidR="00955686" w:rsidRDefault="0095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86" w:rsidRDefault="00955686" w:rsidP="00F63191">
      <w:pPr>
        <w:spacing w:after="0" w:line="240" w:lineRule="auto"/>
      </w:pPr>
      <w:r>
        <w:separator/>
      </w:r>
    </w:p>
  </w:footnote>
  <w:footnote w:type="continuationSeparator" w:id="0">
    <w:p w:rsidR="00955686" w:rsidRDefault="00955686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86" w:rsidRDefault="00955686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901C7"/>
    <w:rsid w:val="000B50FC"/>
    <w:rsid w:val="000C575F"/>
    <w:rsid w:val="000D1199"/>
    <w:rsid w:val="000D4B0D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C32B5"/>
    <w:rsid w:val="003C7AE1"/>
    <w:rsid w:val="003F4E8D"/>
    <w:rsid w:val="003F6DAE"/>
    <w:rsid w:val="00416E44"/>
    <w:rsid w:val="00465BF1"/>
    <w:rsid w:val="00502BE4"/>
    <w:rsid w:val="00502F29"/>
    <w:rsid w:val="00506BC5"/>
    <w:rsid w:val="00536799"/>
    <w:rsid w:val="005802A0"/>
    <w:rsid w:val="00583483"/>
    <w:rsid w:val="005857E6"/>
    <w:rsid w:val="005B79DD"/>
    <w:rsid w:val="005C70A1"/>
    <w:rsid w:val="005F4D43"/>
    <w:rsid w:val="00657550"/>
    <w:rsid w:val="007164C7"/>
    <w:rsid w:val="00720DB0"/>
    <w:rsid w:val="007414D1"/>
    <w:rsid w:val="00743628"/>
    <w:rsid w:val="00743B20"/>
    <w:rsid w:val="00760D27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96F08"/>
    <w:rsid w:val="008A5405"/>
    <w:rsid w:val="008D1A8E"/>
    <w:rsid w:val="008E5828"/>
    <w:rsid w:val="008F0411"/>
    <w:rsid w:val="008F249E"/>
    <w:rsid w:val="00955686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546CF"/>
    <w:rsid w:val="00B65D92"/>
    <w:rsid w:val="00BA61F1"/>
    <w:rsid w:val="00BC4643"/>
    <w:rsid w:val="00BD2692"/>
    <w:rsid w:val="00C01E6F"/>
    <w:rsid w:val="00C86C48"/>
    <w:rsid w:val="00C9758A"/>
    <w:rsid w:val="00CA2D3E"/>
    <w:rsid w:val="00CA4C08"/>
    <w:rsid w:val="00CC28BC"/>
    <w:rsid w:val="00CD7069"/>
    <w:rsid w:val="00D1777E"/>
    <w:rsid w:val="00D63CD3"/>
    <w:rsid w:val="00D73FBB"/>
    <w:rsid w:val="00D92FD9"/>
    <w:rsid w:val="00DB7651"/>
    <w:rsid w:val="00DE660A"/>
    <w:rsid w:val="00E43145"/>
    <w:rsid w:val="00E964E9"/>
    <w:rsid w:val="00EB6678"/>
    <w:rsid w:val="00EF333D"/>
    <w:rsid w:val="00F05C01"/>
    <w:rsid w:val="00F069C3"/>
    <w:rsid w:val="00F06C5E"/>
    <w:rsid w:val="00F20443"/>
    <w:rsid w:val="00F606FC"/>
    <w:rsid w:val="00F63191"/>
    <w:rsid w:val="00F64CD1"/>
    <w:rsid w:val="00F927B0"/>
    <w:rsid w:val="00FB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1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1C3F-A338-451C-9C81-1955D5C8FF0C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9F91A-FB3D-4BCB-BF2E-A013BD4D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7ED9C-0668-4034-89B1-165F36700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21E7B-D3A2-4E92-9897-B766362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2014-09-25T20:40:00Z</dcterms:created>
  <dcterms:modified xsi:type="dcterms:W3CDTF">2014-09-25T20:40:00Z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