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FFEEF" w14:textId="77777777" w:rsidR="00AD706B" w:rsidRDefault="00AE01E9" w:rsidP="00AD706B">
      <w:pPr>
        <w:pStyle w:val="Heading1"/>
      </w:pPr>
      <w:r>
        <w:t>I</w:t>
      </w:r>
      <w:r w:rsidR="005D3267">
        <w:t>T-8.10</w:t>
      </w:r>
      <w:r w:rsidR="00EB7647" w:rsidRPr="00EB7647">
        <w:t xml:space="preserve">:  </w:t>
      </w:r>
      <w:r w:rsidR="0028561E">
        <w:t>Pregnancy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3C1FFEF2" w14:textId="77777777" w:rsidTr="0011709A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3C1FFEF0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3C1FFEF1" w14:textId="1BDB3956" w:rsidR="00AD706B" w:rsidRPr="008779F5" w:rsidRDefault="00016EB7" w:rsidP="00AF31F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IT-8.10 </w:t>
            </w:r>
            <w:r w:rsidR="008C5E04" w:rsidRPr="008C5E04">
              <w:rPr>
                <w:b/>
              </w:rPr>
              <w:t>P</w:t>
            </w:r>
            <w:r w:rsidR="00AF31F8">
              <w:rPr>
                <w:b/>
              </w:rPr>
              <w:t>regnancy</w:t>
            </w:r>
            <w:r w:rsidR="008C5E04" w:rsidRPr="008C5E04">
              <w:rPr>
                <w:b/>
              </w:rPr>
              <w:t xml:space="preserve"> Rate</w:t>
            </w:r>
          </w:p>
        </w:tc>
      </w:tr>
      <w:tr w:rsidR="00AD706B" w14:paraId="3C1FFEF5" w14:textId="77777777" w:rsidTr="00A374B8">
        <w:tc>
          <w:tcPr>
            <w:tcW w:w="2718" w:type="dxa"/>
          </w:tcPr>
          <w:p w14:paraId="3C1FFEF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3C1FFEF4" w14:textId="5E023394" w:rsidR="00016EB7" w:rsidRPr="00651532" w:rsidRDefault="009F117C" w:rsidP="00016EB7">
            <w:pPr>
              <w:pStyle w:val="NoSpacing"/>
            </w:pPr>
            <w:r>
              <w:t>Rate</w:t>
            </w:r>
            <w:r w:rsidR="0094418D" w:rsidRPr="0094418D">
              <w:t xml:space="preserve"> of pregnancies among women aged 15-44</w:t>
            </w:r>
            <w:r w:rsidR="00016EB7">
              <w:t xml:space="preserve"> per 1,000</w:t>
            </w:r>
          </w:p>
        </w:tc>
      </w:tr>
      <w:tr w:rsidR="00AD706B" w14:paraId="3C1FFEF8" w14:textId="77777777" w:rsidTr="00A374B8">
        <w:tc>
          <w:tcPr>
            <w:tcW w:w="2718" w:type="dxa"/>
          </w:tcPr>
          <w:p w14:paraId="3C1FFEF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3C1FFEF7" w14:textId="77777777" w:rsidR="00AD706B" w:rsidRDefault="0028561E" w:rsidP="00713FD3">
            <w:pPr>
              <w:pStyle w:val="NoSpacing"/>
            </w:pPr>
            <w:r>
              <w:t>Not applicable</w:t>
            </w:r>
          </w:p>
        </w:tc>
      </w:tr>
      <w:tr w:rsidR="00AD706B" w14:paraId="3C1FFEFB" w14:textId="77777777" w:rsidTr="003438C3">
        <w:trPr>
          <w:trHeight w:val="197"/>
        </w:trPr>
        <w:tc>
          <w:tcPr>
            <w:tcW w:w="2718" w:type="dxa"/>
          </w:tcPr>
          <w:p w14:paraId="3C1FFEF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3C1FFEFA" w14:textId="77777777" w:rsidR="00AD706B" w:rsidRPr="00631E85" w:rsidRDefault="0028561E" w:rsidP="0028561E">
            <w:pPr>
              <w:pStyle w:val="NoSpacing"/>
            </w:pPr>
            <w:proofErr w:type="spellStart"/>
            <w:r>
              <w:t>Guttmacher</w:t>
            </w:r>
            <w:proofErr w:type="spellEnd"/>
            <w:r>
              <w:t xml:space="preserve"> Institute</w:t>
            </w:r>
          </w:p>
        </w:tc>
      </w:tr>
      <w:tr w:rsidR="00AD706B" w14:paraId="3C1FFEFE" w14:textId="77777777" w:rsidTr="00A374B8">
        <w:tc>
          <w:tcPr>
            <w:tcW w:w="2718" w:type="dxa"/>
          </w:tcPr>
          <w:p w14:paraId="3C1FFEFC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3C1FFEFD" w14:textId="77777777" w:rsidR="00AD706B" w:rsidRPr="00631E85" w:rsidRDefault="001E7AC0" w:rsidP="00561D6D">
            <w:pPr>
              <w:pStyle w:val="NoSpacing"/>
            </w:pPr>
            <w:hyperlink r:id="rId12" w:history="1">
              <w:r w:rsidR="00C863A5" w:rsidRPr="001F21EC">
                <w:rPr>
                  <w:rStyle w:val="Hyperlink"/>
                </w:rPr>
                <w:t>http://www.guttmacher.org/pubs/USTPtrendsState08.pdf</w:t>
              </w:r>
            </w:hyperlink>
            <w:r w:rsidR="00C863A5">
              <w:t xml:space="preserve"> </w:t>
            </w:r>
          </w:p>
        </w:tc>
      </w:tr>
      <w:tr w:rsidR="00AD706B" w14:paraId="3C1FFF01" w14:textId="77777777" w:rsidTr="00A374B8">
        <w:tc>
          <w:tcPr>
            <w:tcW w:w="2718" w:type="dxa"/>
          </w:tcPr>
          <w:p w14:paraId="3C1FFEFF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3C1FFF00" w14:textId="77777777" w:rsidR="00AD706B" w:rsidRDefault="00AD706B" w:rsidP="00AD706B">
            <w:pPr>
              <w:pStyle w:val="NoSpacing"/>
            </w:pPr>
            <w:r>
              <w:t>Stand-alone</w:t>
            </w:r>
            <w:r w:rsidR="00165D76">
              <w:t xml:space="preserve"> (SA)</w:t>
            </w:r>
          </w:p>
        </w:tc>
      </w:tr>
      <w:tr w:rsidR="00016EB7" w14:paraId="3C1FFF04" w14:textId="77777777" w:rsidTr="00A374B8">
        <w:tc>
          <w:tcPr>
            <w:tcW w:w="2718" w:type="dxa"/>
          </w:tcPr>
          <w:p w14:paraId="3C1FFF02" w14:textId="15819C9F" w:rsidR="00016EB7" w:rsidRDefault="00016EB7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858" w:type="dxa"/>
          </w:tcPr>
          <w:p w14:paraId="3C1FFF03" w14:textId="286229CC" w:rsidR="00016EB7" w:rsidRDefault="00016EB7" w:rsidP="00EB4942">
            <w:pPr>
              <w:pStyle w:val="NoSpacing"/>
            </w:pPr>
            <w:r>
              <w:t>Pay-for-Reporting: Prior Authorization</w:t>
            </w:r>
          </w:p>
        </w:tc>
      </w:tr>
      <w:tr w:rsidR="00AD706B" w14:paraId="3C1FFF07" w14:textId="77777777" w:rsidTr="00A374B8">
        <w:tc>
          <w:tcPr>
            <w:tcW w:w="2718" w:type="dxa"/>
          </w:tcPr>
          <w:p w14:paraId="3C1FFF05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3C1FFF06" w14:textId="78EFCB25" w:rsidR="009F78A7" w:rsidRDefault="00F441B9" w:rsidP="00861788">
            <w:pPr>
              <w:pStyle w:val="NoSpacing"/>
            </w:pPr>
            <w:r>
              <w:t>This measure was m</w:t>
            </w:r>
            <w:r w:rsidRPr="00F441B9">
              <w:t>odeled after the overall pregnancy rate calculation</w:t>
            </w:r>
            <w:r>
              <w:t xml:space="preserve"> described by the measure steward.</w:t>
            </w:r>
          </w:p>
        </w:tc>
      </w:tr>
      <w:tr w:rsidR="00AD706B" w14:paraId="3C1FFF0A" w14:textId="77777777" w:rsidTr="00A374B8">
        <w:tc>
          <w:tcPr>
            <w:tcW w:w="2718" w:type="dxa"/>
          </w:tcPr>
          <w:p w14:paraId="3C1FFF08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3C1FFF09" w14:textId="58EA4D20" w:rsidR="00AD706B" w:rsidRPr="009F7E66" w:rsidRDefault="00EB4942" w:rsidP="001D6BEA">
            <w:pPr>
              <w:pStyle w:val="NoSpacing"/>
            </w:pPr>
            <w:bookmarkStart w:id="0" w:name="_GoBack"/>
            <w:r>
              <w:t xml:space="preserve">Total number of women aged 15-44 years </w:t>
            </w:r>
            <w:bookmarkEnd w:id="0"/>
          </w:p>
        </w:tc>
      </w:tr>
      <w:tr w:rsidR="00787D45" w14:paraId="3C1FFF0D" w14:textId="77777777" w:rsidTr="00B05CBF">
        <w:trPr>
          <w:trHeight w:val="728"/>
        </w:trPr>
        <w:tc>
          <w:tcPr>
            <w:tcW w:w="2718" w:type="dxa"/>
          </w:tcPr>
          <w:p w14:paraId="3C1FFF0B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3C1FFF0C" w14:textId="5AE4A64D" w:rsidR="00787D45" w:rsidRPr="0012650D" w:rsidRDefault="00EB4942" w:rsidP="00651532">
            <w:pPr>
              <w:pStyle w:val="NoSpacing"/>
              <w:rPr>
                <w:b/>
              </w:rPr>
            </w:pPr>
            <w:r>
              <w:t xml:space="preserve">Ages listed above refer to women's' ages when the pregnancy ended. </w:t>
            </w:r>
          </w:p>
        </w:tc>
      </w:tr>
      <w:tr w:rsidR="00787D45" w14:paraId="3C1FFF10" w14:textId="77777777" w:rsidTr="00B05CBF">
        <w:trPr>
          <w:trHeight w:val="710"/>
        </w:trPr>
        <w:tc>
          <w:tcPr>
            <w:tcW w:w="2718" w:type="dxa"/>
          </w:tcPr>
          <w:p w14:paraId="3C1FFF0E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3C1FFF0F" w14:textId="77777777" w:rsidR="00787D45" w:rsidRPr="001D6BEA" w:rsidRDefault="00F06BA6" w:rsidP="00F81588">
            <w:pPr>
              <w:pStyle w:val="NoSpacing"/>
            </w:pPr>
            <w:r>
              <w:t>The Measure Steward does not identify specific denominator exclusions beyond what is described in the denominator description.</w:t>
            </w:r>
          </w:p>
        </w:tc>
      </w:tr>
      <w:tr w:rsidR="00D63CD3" w14:paraId="3C1FFF16" w14:textId="77777777" w:rsidTr="00A374B8">
        <w:tc>
          <w:tcPr>
            <w:tcW w:w="2718" w:type="dxa"/>
          </w:tcPr>
          <w:p w14:paraId="3C1FFF11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3C1FFF12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3C1FFF13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3C1FFF14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3C1FFF15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3C1FFF19" w14:textId="77777777" w:rsidTr="00A374B8">
        <w:tc>
          <w:tcPr>
            <w:tcW w:w="2718" w:type="dxa"/>
          </w:tcPr>
          <w:p w14:paraId="3C1FFF17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858" w:type="dxa"/>
          </w:tcPr>
          <w:p w14:paraId="3C1FFF18" w14:textId="06348A02" w:rsidR="00016EB7" w:rsidRPr="009F7E66" w:rsidRDefault="00016EB7" w:rsidP="001E7AC0">
            <w:pPr>
              <w:pStyle w:val="NoSpacing"/>
            </w:pPr>
            <w:r>
              <w:t>Sum of births, abortions and miscarriages for women aged 15-</w:t>
            </w:r>
            <w:r w:rsidR="001E7AC0">
              <w:t>44</w:t>
            </w:r>
            <w:r w:rsidR="001E7AC0">
              <w:t xml:space="preserve"> </w:t>
            </w:r>
            <w:r>
              <w:t>when the pregnancy ended</w:t>
            </w:r>
            <w:r w:rsidR="009F117C">
              <w:t xml:space="preserve"> x 1000*</w:t>
            </w:r>
            <w:r w:rsidDel="00016EB7">
              <w:t xml:space="preserve"> </w:t>
            </w:r>
            <w:r w:rsidR="00AF31F8">
              <w:t xml:space="preserve"> </w:t>
            </w:r>
          </w:p>
        </w:tc>
      </w:tr>
      <w:tr w:rsidR="00787D45" w14:paraId="3C1FFF1C" w14:textId="77777777" w:rsidTr="00A374B8">
        <w:tc>
          <w:tcPr>
            <w:tcW w:w="2718" w:type="dxa"/>
          </w:tcPr>
          <w:p w14:paraId="3C1FFF1A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0BD65B47" w14:textId="77777777" w:rsidR="009F117C" w:rsidRDefault="00016EB7" w:rsidP="00F81588">
            <w:pPr>
              <w:pStyle w:val="NoSpacing"/>
            </w:pPr>
            <w:r>
              <w:t>Pregnancy rate is composed of the rates of pregnancy outcomes: births, abortions and miscarriages; it is not synonymous with the birthrate.</w:t>
            </w:r>
          </w:p>
          <w:p w14:paraId="5D7939E6" w14:textId="77777777" w:rsidR="009F117C" w:rsidRDefault="009F117C" w:rsidP="00F81588">
            <w:pPr>
              <w:pStyle w:val="NoSpacing"/>
            </w:pPr>
          </w:p>
          <w:p w14:paraId="3C1FFF1B" w14:textId="0C074245" w:rsidR="00787D45" w:rsidRPr="0012650D" w:rsidRDefault="009F117C" w:rsidP="00F81588">
            <w:pPr>
              <w:pStyle w:val="NoSpacing"/>
              <w:rPr>
                <w:b/>
              </w:rPr>
            </w:pPr>
            <w:r>
              <w:t xml:space="preserve">*The "x 1000" is to reflect the "per 1000 population" rate once the numerator is divided by the denominator </w:t>
            </w:r>
          </w:p>
        </w:tc>
      </w:tr>
      <w:tr w:rsidR="00787D45" w14:paraId="3C1FFF1F" w14:textId="77777777" w:rsidTr="00A374B8">
        <w:tc>
          <w:tcPr>
            <w:tcW w:w="2718" w:type="dxa"/>
          </w:tcPr>
          <w:p w14:paraId="3C1FFF1D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3C1FFF1E" w14:textId="77777777" w:rsidR="00787D45" w:rsidRPr="001D6BEA" w:rsidRDefault="003F614D" w:rsidP="002F15E3">
            <w:pPr>
              <w:pStyle w:val="NoSpacing"/>
            </w:pPr>
            <w:r>
              <w:t>The Measure Steward does not identify specific numerator exclusions beyond what is described in the numerator description.</w:t>
            </w:r>
          </w:p>
        </w:tc>
      </w:tr>
      <w:tr w:rsidR="00AD706B" w14:paraId="3C1FFF22" w14:textId="77777777" w:rsidTr="00A374B8">
        <w:tc>
          <w:tcPr>
            <w:tcW w:w="2718" w:type="dxa"/>
          </w:tcPr>
          <w:p w14:paraId="3C1FFF20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Setting</w:t>
            </w:r>
          </w:p>
        </w:tc>
        <w:tc>
          <w:tcPr>
            <w:tcW w:w="6858" w:type="dxa"/>
          </w:tcPr>
          <w:p w14:paraId="3C1FFF21" w14:textId="77777777" w:rsidR="00AD706B" w:rsidRDefault="00AD706B" w:rsidP="00CD7069">
            <w:pPr>
              <w:pStyle w:val="NoSpacing"/>
            </w:pPr>
            <w:r>
              <w:t>Inpatient</w:t>
            </w:r>
          </w:p>
        </w:tc>
      </w:tr>
      <w:tr w:rsidR="00AD706B" w14:paraId="3C1FFF25" w14:textId="77777777" w:rsidTr="00A374B8">
        <w:tc>
          <w:tcPr>
            <w:tcW w:w="2718" w:type="dxa"/>
          </w:tcPr>
          <w:p w14:paraId="3C1FFF23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3C1FFF24" w14:textId="09251D65" w:rsidR="00AD706B" w:rsidRDefault="00F441B9" w:rsidP="00AF3A3D">
            <w:pPr>
              <w:pStyle w:val="NoSpacing"/>
            </w:pPr>
            <w:r w:rsidRPr="00F441B9">
              <w:t>Administrative/Clinical data sources</w:t>
            </w:r>
          </w:p>
        </w:tc>
      </w:tr>
      <w:tr w:rsidR="00016EB7" w14:paraId="3C1FFF44" w14:textId="77777777" w:rsidTr="00A374B8">
        <w:tc>
          <w:tcPr>
            <w:tcW w:w="2718" w:type="dxa"/>
          </w:tcPr>
          <w:p w14:paraId="3C1FFF26" w14:textId="0D8605BF" w:rsidR="00016EB7" w:rsidRPr="00717546" w:rsidRDefault="00016EB7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6BB0747D" w14:textId="77777777" w:rsidR="00016EB7" w:rsidRDefault="00016EB7" w:rsidP="003546A9">
            <w:pPr>
              <w:pStyle w:val="NoSpacing"/>
            </w:pPr>
            <w:r>
              <w:t>All denominator subsets are permissible for this outcome</w:t>
            </w:r>
          </w:p>
          <w:p w14:paraId="3C1FFF43" w14:textId="2043CE0A" w:rsidR="00016EB7" w:rsidRDefault="00016EB7" w:rsidP="007F7C07">
            <w:pPr>
              <w:pStyle w:val="NoSpacing"/>
            </w:pPr>
            <w:r>
              <w:t> </w:t>
            </w:r>
          </w:p>
        </w:tc>
      </w:tr>
    </w:tbl>
    <w:p w14:paraId="3C1FFF8E" w14:textId="77777777" w:rsidR="00356CF4" w:rsidRPr="008F249E" w:rsidRDefault="00356CF4" w:rsidP="00E72F21">
      <w:pPr>
        <w:pStyle w:val="Heading2"/>
      </w:pPr>
    </w:p>
    <w:sectPr w:rsidR="00356CF4" w:rsidRPr="008F249E" w:rsidSect="00E3456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FFF96" w14:textId="77777777" w:rsidR="00F120F4" w:rsidRDefault="00F120F4" w:rsidP="00F63191">
      <w:pPr>
        <w:spacing w:after="0" w:line="240" w:lineRule="auto"/>
      </w:pPr>
      <w:r>
        <w:separator/>
      </w:r>
    </w:p>
  </w:endnote>
  <w:endnote w:type="continuationSeparator" w:id="0">
    <w:p w14:paraId="3C1FFF97" w14:textId="77777777" w:rsidR="00F120F4" w:rsidRDefault="00F120F4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58EE" w14:textId="5FD0546E" w:rsidR="001877D5" w:rsidRDefault="001877D5">
    <w:pPr>
      <w:pStyle w:val="Footer"/>
    </w:pPr>
    <w:r>
      <w:t>09/</w:t>
    </w:r>
    <w:r w:rsidR="009F117C">
      <w:t>2</w:t>
    </w:r>
    <w:r>
      <w:t>5/14</w:t>
    </w:r>
  </w:p>
  <w:p w14:paraId="3C1FFF9A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FFF94" w14:textId="77777777" w:rsidR="00F120F4" w:rsidRDefault="00F120F4" w:rsidP="00F63191">
      <w:pPr>
        <w:spacing w:after="0" w:line="240" w:lineRule="auto"/>
      </w:pPr>
      <w:r>
        <w:separator/>
      </w:r>
    </w:p>
  </w:footnote>
  <w:footnote w:type="continuationSeparator" w:id="0">
    <w:p w14:paraId="3C1FFF95" w14:textId="77777777" w:rsidR="00F120F4" w:rsidRDefault="00F120F4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FFF98" w14:textId="6932C9E6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05C80"/>
    <w:multiLevelType w:val="hybridMultilevel"/>
    <w:tmpl w:val="B8F4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16EB7"/>
    <w:rsid w:val="00023B6B"/>
    <w:rsid w:val="00031069"/>
    <w:rsid w:val="00055843"/>
    <w:rsid w:val="000C575F"/>
    <w:rsid w:val="000D1199"/>
    <w:rsid w:val="000D5A2D"/>
    <w:rsid w:val="000E7EED"/>
    <w:rsid w:val="00100A2F"/>
    <w:rsid w:val="00107C1A"/>
    <w:rsid w:val="0011709A"/>
    <w:rsid w:val="001448E7"/>
    <w:rsid w:val="00165D76"/>
    <w:rsid w:val="001877D5"/>
    <w:rsid w:val="001C55AC"/>
    <w:rsid w:val="001D6BEA"/>
    <w:rsid w:val="001E7AC0"/>
    <w:rsid w:val="002224F0"/>
    <w:rsid w:val="00245754"/>
    <w:rsid w:val="002637DC"/>
    <w:rsid w:val="00271E53"/>
    <w:rsid w:val="002845C2"/>
    <w:rsid w:val="0028561E"/>
    <w:rsid w:val="002D1843"/>
    <w:rsid w:val="002E14AF"/>
    <w:rsid w:val="0032246B"/>
    <w:rsid w:val="003438C3"/>
    <w:rsid w:val="00346B8D"/>
    <w:rsid w:val="00356CF4"/>
    <w:rsid w:val="00366D0B"/>
    <w:rsid w:val="00375652"/>
    <w:rsid w:val="00383516"/>
    <w:rsid w:val="003844DB"/>
    <w:rsid w:val="003A409E"/>
    <w:rsid w:val="003F4E8D"/>
    <w:rsid w:val="003F614D"/>
    <w:rsid w:val="00416DC5"/>
    <w:rsid w:val="00416E44"/>
    <w:rsid w:val="00432656"/>
    <w:rsid w:val="00502BE4"/>
    <w:rsid w:val="00506BC5"/>
    <w:rsid w:val="00536799"/>
    <w:rsid w:val="0054662A"/>
    <w:rsid w:val="00561D6D"/>
    <w:rsid w:val="00565ED0"/>
    <w:rsid w:val="005802A0"/>
    <w:rsid w:val="005857E6"/>
    <w:rsid w:val="00592EA3"/>
    <w:rsid w:val="005B79DD"/>
    <w:rsid w:val="005C70A1"/>
    <w:rsid w:val="005D0DD4"/>
    <w:rsid w:val="005D3267"/>
    <w:rsid w:val="005F4D43"/>
    <w:rsid w:val="00651532"/>
    <w:rsid w:val="007131A3"/>
    <w:rsid w:val="00713FD3"/>
    <w:rsid w:val="007164C7"/>
    <w:rsid w:val="00743628"/>
    <w:rsid w:val="007532B0"/>
    <w:rsid w:val="00760D27"/>
    <w:rsid w:val="00787D45"/>
    <w:rsid w:val="007C43F7"/>
    <w:rsid w:val="007C728B"/>
    <w:rsid w:val="007C7C85"/>
    <w:rsid w:val="007E0395"/>
    <w:rsid w:val="007F675B"/>
    <w:rsid w:val="007F7C07"/>
    <w:rsid w:val="008216A0"/>
    <w:rsid w:val="00823868"/>
    <w:rsid w:val="00827557"/>
    <w:rsid w:val="00861788"/>
    <w:rsid w:val="008722BB"/>
    <w:rsid w:val="008779F5"/>
    <w:rsid w:val="0088642E"/>
    <w:rsid w:val="00886E0E"/>
    <w:rsid w:val="008A5405"/>
    <w:rsid w:val="008C4778"/>
    <w:rsid w:val="008C5E04"/>
    <w:rsid w:val="008D1A8E"/>
    <w:rsid w:val="008F0411"/>
    <w:rsid w:val="008F249E"/>
    <w:rsid w:val="0094418D"/>
    <w:rsid w:val="00965A2A"/>
    <w:rsid w:val="00967948"/>
    <w:rsid w:val="00994A41"/>
    <w:rsid w:val="00996DD5"/>
    <w:rsid w:val="009C6EA3"/>
    <w:rsid w:val="009F04D0"/>
    <w:rsid w:val="009F117C"/>
    <w:rsid w:val="009F78A7"/>
    <w:rsid w:val="009F7E66"/>
    <w:rsid w:val="00A11BD9"/>
    <w:rsid w:val="00A82574"/>
    <w:rsid w:val="00AB1999"/>
    <w:rsid w:val="00AB2DF6"/>
    <w:rsid w:val="00AC3A97"/>
    <w:rsid w:val="00AD706B"/>
    <w:rsid w:val="00AE01E9"/>
    <w:rsid w:val="00AF31F8"/>
    <w:rsid w:val="00AF3A3D"/>
    <w:rsid w:val="00B05CBF"/>
    <w:rsid w:val="00B20462"/>
    <w:rsid w:val="00B546CF"/>
    <w:rsid w:val="00B65D92"/>
    <w:rsid w:val="00B7257A"/>
    <w:rsid w:val="00BA61F1"/>
    <w:rsid w:val="00BB7916"/>
    <w:rsid w:val="00BC4643"/>
    <w:rsid w:val="00C01E6F"/>
    <w:rsid w:val="00C863A5"/>
    <w:rsid w:val="00C86C48"/>
    <w:rsid w:val="00C95D37"/>
    <w:rsid w:val="00C9758A"/>
    <w:rsid w:val="00CA2D3E"/>
    <w:rsid w:val="00CA4C08"/>
    <w:rsid w:val="00CC28BC"/>
    <w:rsid w:val="00CD7069"/>
    <w:rsid w:val="00D1777E"/>
    <w:rsid w:val="00D63CD3"/>
    <w:rsid w:val="00DB7651"/>
    <w:rsid w:val="00DE660A"/>
    <w:rsid w:val="00E3456D"/>
    <w:rsid w:val="00E43145"/>
    <w:rsid w:val="00E72F21"/>
    <w:rsid w:val="00EB4942"/>
    <w:rsid w:val="00EB6678"/>
    <w:rsid w:val="00EB7647"/>
    <w:rsid w:val="00EF333D"/>
    <w:rsid w:val="00F05C01"/>
    <w:rsid w:val="00F069C3"/>
    <w:rsid w:val="00F06BA6"/>
    <w:rsid w:val="00F06C5E"/>
    <w:rsid w:val="00F120F4"/>
    <w:rsid w:val="00F12EB7"/>
    <w:rsid w:val="00F20443"/>
    <w:rsid w:val="00F32A26"/>
    <w:rsid w:val="00F441B9"/>
    <w:rsid w:val="00F50BA4"/>
    <w:rsid w:val="00F63191"/>
    <w:rsid w:val="00F64CD1"/>
    <w:rsid w:val="00F81588"/>
    <w:rsid w:val="00F927B0"/>
    <w:rsid w:val="00F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F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8617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861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2395">
                  <w:marLeft w:val="0"/>
                  <w:marRight w:val="0"/>
                  <w:marTop w:val="0"/>
                  <w:marBottom w:val="0"/>
                  <w:divBdr>
                    <w:top w:val="single" w:sz="8" w:space="0" w:color="666699"/>
                    <w:left w:val="single" w:sz="8" w:space="0" w:color="666699"/>
                    <w:bottom w:val="single" w:sz="8" w:space="0" w:color="666699"/>
                    <w:right w:val="single" w:sz="8" w:space="0" w:color="666699"/>
                  </w:divBdr>
                  <w:divsChild>
                    <w:div w:id="17915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06785">
                          <w:marLeft w:val="2712"/>
                          <w:marRight w:val="187"/>
                          <w:marTop w:val="0"/>
                          <w:marBottom w:val="0"/>
                          <w:divBdr>
                            <w:top w:val="single" w:sz="8" w:space="0" w:color="000066"/>
                            <w:left w:val="single" w:sz="8" w:space="0" w:color="000066"/>
                            <w:bottom w:val="single" w:sz="8" w:space="0" w:color="000066"/>
                            <w:right w:val="single" w:sz="8" w:space="0" w:color="000066"/>
                          </w:divBdr>
                          <w:divsChild>
                            <w:div w:id="297299003">
                              <w:marLeft w:val="187"/>
                              <w:marRight w:val="187"/>
                              <w:marTop w:val="187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5409">
                                          <w:marLeft w:val="0"/>
                                          <w:marRight w:val="0"/>
                                          <w:marTop w:val="187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8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0161">
                  <w:marLeft w:val="0"/>
                  <w:marRight w:val="0"/>
                  <w:marTop w:val="0"/>
                  <w:marBottom w:val="0"/>
                  <w:divBdr>
                    <w:top w:val="single" w:sz="8" w:space="0" w:color="666699"/>
                    <w:left w:val="single" w:sz="8" w:space="0" w:color="666699"/>
                    <w:bottom w:val="single" w:sz="8" w:space="0" w:color="666699"/>
                    <w:right w:val="single" w:sz="8" w:space="0" w:color="666699"/>
                  </w:divBdr>
                  <w:divsChild>
                    <w:div w:id="11092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2490">
                          <w:marLeft w:val="2712"/>
                          <w:marRight w:val="187"/>
                          <w:marTop w:val="0"/>
                          <w:marBottom w:val="0"/>
                          <w:divBdr>
                            <w:top w:val="single" w:sz="8" w:space="0" w:color="000066"/>
                            <w:left w:val="single" w:sz="8" w:space="0" w:color="000066"/>
                            <w:bottom w:val="single" w:sz="8" w:space="0" w:color="000066"/>
                            <w:right w:val="single" w:sz="8" w:space="0" w:color="000066"/>
                          </w:divBdr>
                          <w:divsChild>
                            <w:div w:id="2022705383">
                              <w:marLeft w:val="187"/>
                              <w:marRight w:val="187"/>
                              <w:marTop w:val="187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19703">
                                          <w:marLeft w:val="0"/>
                                          <w:marRight w:val="0"/>
                                          <w:marTop w:val="187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5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uttmacher.org/pubs/USTPtrendsState0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E1B4B6-0850-493D-B74E-F2A1D679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3</cp:revision>
  <dcterms:created xsi:type="dcterms:W3CDTF">2014-09-25T19:46:00Z</dcterms:created>
  <dcterms:modified xsi:type="dcterms:W3CDTF">2014-09-30T15:43:00Z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