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D73B2" w14:textId="0252020D" w:rsidR="00AD706B" w:rsidRPr="00E268B0" w:rsidRDefault="001724E0" w:rsidP="00AD706B">
      <w:pPr>
        <w:pStyle w:val="Heading1"/>
      </w:pPr>
      <w:r w:rsidRPr="00E268B0">
        <w:t>IT-</w:t>
      </w:r>
      <w:r w:rsidR="002E456B" w:rsidRPr="00E268B0">
        <w:t>7.9</w:t>
      </w:r>
      <w:r w:rsidR="00AD706B" w:rsidRPr="00E268B0">
        <w:t xml:space="preserve">:  </w:t>
      </w:r>
      <w:r w:rsidR="002E456B" w:rsidRPr="00E268B0">
        <w:t xml:space="preserve">Dental Treatment Needs </w:t>
      </w:r>
      <w:proofErr w:type="gramStart"/>
      <w:r w:rsidR="002E456B" w:rsidRPr="00E268B0">
        <w:t>Among</w:t>
      </w:r>
      <w:proofErr w:type="gramEnd"/>
      <w:r w:rsidR="002E456B" w:rsidRPr="00E268B0">
        <w:t xml:space="preserve"> Chronic Disease Patients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AD706B" w:rsidRPr="00754D1B" w14:paraId="780D73B5" w14:textId="77777777" w:rsidTr="0071629B">
        <w:trPr>
          <w:tblHeader/>
        </w:trPr>
        <w:tc>
          <w:tcPr>
            <w:tcW w:w="2538" w:type="dxa"/>
            <w:shd w:val="clear" w:color="auto" w:fill="F2F2F2" w:themeFill="background1" w:themeFillShade="F2"/>
          </w:tcPr>
          <w:p w14:paraId="780D73B3" w14:textId="77777777" w:rsidR="00AD706B" w:rsidRPr="00754D1B" w:rsidRDefault="00AD706B" w:rsidP="00A374B8">
            <w:pPr>
              <w:pStyle w:val="NoSpacing"/>
              <w:rPr>
                <w:b/>
              </w:rPr>
            </w:pPr>
            <w:r w:rsidRPr="00754D1B">
              <w:rPr>
                <w:b/>
              </w:rPr>
              <w:t>Measure Title</w:t>
            </w:r>
          </w:p>
        </w:tc>
        <w:tc>
          <w:tcPr>
            <w:tcW w:w="7038" w:type="dxa"/>
            <w:shd w:val="clear" w:color="auto" w:fill="F2F2F2" w:themeFill="background1" w:themeFillShade="F2"/>
          </w:tcPr>
          <w:p w14:paraId="780D73B4" w14:textId="3046B842" w:rsidR="00AD706B" w:rsidRPr="00754D1B" w:rsidRDefault="00C9639A" w:rsidP="001724E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IT-7.9 </w:t>
            </w:r>
            <w:r w:rsidR="002E456B" w:rsidRPr="002E456B">
              <w:rPr>
                <w:b/>
              </w:rPr>
              <w:t>Dental Treatment Needs Among Chronic Disease Patients</w:t>
            </w:r>
          </w:p>
        </w:tc>
      </w:tr>
      <w:tr w:rsidR="00AD706B" w:rsidRPr="00754D1B" w14:paraId="780D73B8" w14:textId="77777777" w:rsidTr="0071629B">
        <w:tc>
          <w:tcPr>
            <w:tcW w:w="2538" w:type="dxa"/>
          </w:tcPr>
          <w:p w14:paraId="780D73B6" w14:textId="77777777" w:rsidR="00AD706B" w:rsidRPr="00754D1B" w:rsidRDefault="00AD706B" w:rsidP="00A374B8">
            <w:pPr>
              <w:pStyle w:val="NoSpacing"/>
              <w:rPr>
                <w:b/>
              </w:rPr>
            </w:pPr>
            <w:r w:rsidRPr="00754D1B">
              <w:rPr>
                <w:b/>
              </w:rPr>
              <w:t>Description</w:t>
            </w:r>
          </w:p>
        </w:tc>
        <w:tc>
          <w:tcPr>
            <w:tcW w:w="7038" w:type="dxa"/>
          </w:tcPr>
          <w:p w14:paraId="780D73B7" w14:textId="208C0531" w:rsidR="00AD706B" w:rsidRPr="00754D1B" w:rsidRDefault="002E456B" w:rsidP="001724E0">
            <w:pPr>
              <w:rPr>
                <w:rFonts w:cs="Arial"/>
                <w:color w:val="000000"/>
              </w:rPr>
            </w:pPr>
            <w:r w:rsidRPr="002E456B">
              <w:rPr>
                <w:rFonts w:cs="Arial"/>
                <w:color w:val="000000"/>
              </w:rPr>
              <w:t>Percentage of chronic disease patients with improved disease controls status following dental treatment</w:t>
            </w:r>
          </w:p>
        </w:tc>
      </w:tr>
      <w:tr w:rsidR="00AD706B" w:rsidRPr="00754D1B" w14:paraId="780D73BB" w14:textId="77777777" w:rsidTr="0071629B">
        <w:tc>
          <w:tcPr>
            <w:tcW w:w="2538" w:type="dxa"/>
          </w:tcPr>
          <w:p w14:paraId="780D73B9" w14:textId="77777777" w:rsidR="00AD706B" w:rsidRPr="00754D1B" w:rsidRDefault="00AD706B" w:rsidP="00A374B8">
            <w:pPr>
              <w:pStyle w:val="NoSpacing"/>
              <w:rPr>
                <w:b/>
              </w:rPr>
            </w:pPr>
            <w:r w:rsidRPr="00754D1B">
              <w:rPr>
                <w:b/>
              </w:rPr>
              <w:t>NQF Number</w:t>
            </w:r>
          </w:p>
        </w:tc>
        <w:tc>
          <w:tcPr>
            <w:tcW w:w="7038" w:type="dxa"/>
          </w:tcPr>
          <w:p w14:paraId="780D73BA" w14:textId="36AFE21F" w:rsidR="00AD706B" w:rsidRPr="00754D1B" w:rsidRDefault="00100A2F" w:rsidP="001724E0">
            <w:pPr>
              <w:pStyle w:val="NoSpacing"/>
            </w:pPr>
            <w:r w:rsidRPr="00754D1B">
              <w:t>Not applic</w:t>
            </w:r>
            <w:r w:rsidR="001724E0" w:rsidRPr="00754D1B">
              <w:t>able</w:t>
            </w:r>
          </w:p>
        </w:tc>
      </w:tr>
      <w:tr w:rsidR="00AD706B" w:rsidRPr="00754D1B" w14:paraId="780D73BE" w14:textId="77777777" w:rsidTr="0071629B">
        <w:tc>
          <w:tcPr>
            <w:tcW w:w="2538" w:type="dxa"/>
          </w:tcPr>
          <w:p w14:paraId="780D73BC" w14:textId="77777777" w:rsidR="00AD706B" w:rsidRPr="00754D1B" w:rsidRDefault="00AD706B" w:rsidP="00A374B8">
            <w:pPr>
              <w:pStyle w:val="NoSpacing"/>
              <w:rPr>
                <w:b/>
              </w:rPr>
            </w:pPr>
            <w:r w:rsidRPr="00754D1B">
              <w:rPr>
                <w:b/>
              </w:rPr>
              <w:t>Measure Steward</w:t>
            </w:r>
          </w:p>
        </w:tc>
        <w:tc>
          <w:tcPr>
            <w:tcW w:w="7038" w:type="dxa"/>
          </w:tcPr>
          <w:p w14:paraId="780D73BD" w14:textId="26C73EE8" w:rsidR="00AD706B" w:rsidRPr="00754D1B" w:rsidRDefault="001724E0" w:rsidP="001724E0">
            <w:pPr>
              <w:pStyle w:val="NoSpacing"/>
            </w:pPr>
            <w:r w:rsidRPr="00754D1B">
              <w:t>Not applicable</w:t>
            </w:r>
          </w:p>
        </w:tc>
      </w:tr>
      <w:tr w:rsidR="00AD706B" w:rsidRPr="00754D1B" w14:paraId="780D73C1" w14:textId="77777777" w:rsidTr="0071629B">
        <w:tc>
          <w:tcPr>
            <w:tcW w:w="2538" w:type="dxa"/>
          </w:tcPr>
          <w:p w14:paraId="780D73BF" w14:textId="77777777" w:rsidR="00AD706B" w:rsidRPr="00754D1B" w:rsidRDefault="00AD706B" w:rsidP="00A374B8">
            <w:pPr>
              <w:pStyle w:val="NoSpacing"/>
              <w:rPr>
                <w:b/>
              </w:rPr>
            </w:pPr>
            <w:r w:rsidRPr="00754D1B">
              <w:rPr>
                <w:b/>
              </w:rPr>
              <w:t>Link to measure citation</w:t>
            </w:r>
          </w:p>
        </w:tc>
        <w:tc>
          <w:tcPr>
            <w:tcW w:w="7038" w:type="dxa"/>
          </w:tcPr>
          <w:p w14:paraId="780D73C0" w14:textId="19E92679" w:rsidR="00AD706B" w:rsidRPr="00754D1B" w:rsidRDefault="00E268B0" w:rsidP="00561D6D">
            <w:pPr>
              <w:pStyle w:val="NoSpacing"/>
            </w:pPr>
            <w:r>
              <w:t>Not applicable</w:t>
            </w:r>
            <w:r w:rsidR="00B05CBF" w:rsidRPr="00754D1B">
              <w:t xml:space="preserve"> </w:t>
            </w:r>
          </w:p>
        </w:tc>
      </w:tr>
      <w:tr w:rsidR="00AD706B" w:rsidRPr="00754D1B" w14:paraId="780D73C4" w14:textId="77777777" w:rsidTr="0071629B">
        <w:tc>
          <w:tcPr>
            <w:tcW w:w="2538" w:type="dxa"/>
          </w:tcPr>
          <w:p w14:paraId="780D73C2" w14:textId="77777777" w:rsidR="00AD706B" w:rsidRPr="00754D1B" w:rsidRDefault="00AD706B" w:rsidP="00A374B8">
            <w:pPr>
              <w:pStyle w:val="NoSpacing"/>
              <w:rPr>
                <w:b/>
              </w:rPr>
            </w:pPr>
            <w:r w:rsidRPr="00754D1B">
              <w:rPr>
                <w:b/>
              </w:rPr>
              <w:t>Measure type</w:t>
            </w:r>
          </w:p>
        </w:tc>
        <w:tc>
          <w:tcPr>
            <w:tcW w:w="7038" w:type="dxa"/>
          </w:tcPr>
          <w:p w14:paraId="780D73C3" w14:textId="2A2A3D23" w:rsidR="00AD706B" w:rsidRPr="00754D1B" w:rsidRDefault="00AD706B" w:rsidP="00AD706B">
            <w:pPr>
              <w:pStyle w:val="NoSpacing"/>
            </w:pPr>
            <w:r w:rsidRPr="00754D1B">
              <w:t>Stand-alone</w:t>
            </w:r>
            <w:r w:rsidR="00165D76" w:rsidRPr="00754D1B">
              <w:t xml:space="preserve"> (SA)</w:t>
            </w:r>
          </w:p>
        </w:tc>
      </w:tr>
      <w:tr w:rsidR="00C9639A" w:rsidRPr="00754D1B" w14:paraId="780D73C7" w14:textId="77777777" w:rsidTr="0071629B">
        <w:tc>
          <w:tcPr>
            <w:tcW w:w="2538" w:type="dxa"/>
          </w:tcPr>
          <w:p w14:paraId="780D73C5" w14:textId="463AE983" w:rsidR="00C9639A" w:rsidRPr="00754D1B" w:rsidRDefault="00C9639A" w:rsidP="00A374B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Performance and Achievement Type </w:t>
            </w:r>
          </w:p>
        </w:tc>
        <w:tc>
          <w:tcPr>
            <w:tcW w:w="7038" w:type="dxa"/>
          </w:tcPr>
          <w:p w14:paraId="553BD87B" w14:textId="77777777" w:rsidR="00C9639A" w:rsidRDefault="00C9639A" w:rsidP="0017382B">
            <w:pPr>
              <w:pStyle w:val="NoSpacing"/>
            </w:pPr>
            <w:r>
              <w:t>Pay for Performance (P4P) – Improvement Over Self (IOS): Prior Authorization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09"/>
              <w:gridCol w:w="2209"/>
              <w:gridCol w:w="2209"/>
            </w:tblGrid>
            <w:tr w:rsidR="00C9639A" w:rsidRPr="008331B0" w14:paraId="3796DED1" w14:textId="77777777" w:rsidTr="0017382B">
              <w:tc>
                <w:tcPr>
                  <w:tcW w:w="2209" w:type="dxa"/>
                </w:tcPr>
                <w:p w14:paraId="73ECC251" w14:textId="77777777" w:rsidR="00C9639A" w:rsidRPr="008331B0" w:rsidRDefault="00C9639A" w:rsidP="0017382B">
                  <w:pPr>
                    <w:pStyle w:val="NoSpacing"/>
                  </w:pPr>
                </w:p>
              </w:tc>
              <w:tc>
                <w:tcPr>
                  <w:tcW w:w="2209" w:type="dxa"/>
                </w:tcPr>
                <w:p w14:paraId="5CE7A33F" w14:textId="77777777" w:rsidR="00C9639A" w:rsidRPr="008331B0" w:rsidRDefault="00C9639A" w:rsidP="0017382B">
                  <w:pPr>
                    <w:pStyle w:val="NoSpacing"/>
                    <w:jc w:val="center"/>
                  </w:pPr>
                  <w:r w:rsidRPr="008331B0">
                    <w:t>DY4</w:t>
                  </w:r>
                </w:p>
                <w:p w14:paraId="3D6E9176" w14:textId="77777777" w:rsidR="00C9639A" w:rsidRPr="008331B0" w:rsidRDefault="00C9639A" w:rsidP="0017382B">
                  <w:pPr>
                    <w:pStyle w:val="NoSpacing"/>
                    <w:jc w:val="center"/>
                  </w:pPr>
                </w:p>
              </w:tc>
              <w:tc>
                <w:tcPr>
                  <w:tcW w:w="2209" w:type="dxa"/>
                </w:tcPr>
                <w:p w14:paraId="55CF3315" w14:textId="77777777" w:rsidR="00C9639A" w:rsidRPr="008331B0" w:rsidRDefault="00C9639A" w:rsidP="0017382B">
                  <w:pPr>
                    <w:pStyle w:val="NoSpacing"/>
                    <w:jc w:val="center"/>
                  </w:pPr>
                  <w:r w:rsidRPr="008331B0">
                    <w:t>DY5</w:t>
                  </w:r>
                </w:p>
                <w:p w14:paraId="08E796F5" w14:textId="77777777" w:rsidR="00C9639A" w:rsidRPr="008331B0" w:rsidRDefault="00C9639A" w:rsidP="0017382B">
                  <w:pPr>
                    <w:pStyle w:val="NoSpacing"/>
                    <w:jc w:val="center"/>
                  </w:pPr>
                </w:p>
              </w:tc>
            </w:tr>
            <w:tr w:rsidR="00C9639A" w:rsidRPr="008331B0" w14:paraId="290DF5F0" w14:textId="77777777" w:rsidTr="0017382B">
              <w:tc>
                <w:tcPr>
                  <w:tcW w:w="2209" w:type="dxa"/>
                </w:tcPr>
                <w:p w14:paraId="31EEB90A" w14:textId="77777777" w:rsidR="00C9639A" w:rsidRPr="008331B0" w:rsidRDefault="00C9639A" w:rsidP="0017382B">
                  <w:pPr>
                    <w:pStyle w:val="NoSpacing"/>
                    <w:jc w:val="center"/>
                  </w:pPr>
                  <w:r>
                    <w:t>Achievement Level Calculation</w:t>
                  </w:r>
                </w:p>
              </w:tc>
              <w:tc>
                <w:tcPr>
                  <w:tcW w:w="2209" w:type="dxa"/>
                </w:tcPr>
                <w:p w14:paraId="2E3D888E" w14:textId="77777777" w:rsidR="00C9639A" w:rsidRDefault="00C9639A" w:rsidP="0017382B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+</w:t>
                  </w:r>
                  <w:r w:rsidRPr="00EA4A39">
                    <w:t xml:space="preserve"> 5% *(performance gap)</w:t>
                  </w:r>
                </w:p>
                <w:p w14:paraId="09AC73D9" w14:textId="77777777" w:rsidR="00C9639A" w:rsidRDefault="00C9639A" w:rsidP="0017382B">
                  <w:pPr>
                    <w:pStyle w:val="NoSpacing"/>
                    <w:jc w:val="center"/>
                  </w:pPr>
                  <w:r w:rsidRPr="00EA4A39">
                    <w:t>=</w:t>
                  </w:r>
                </w:p>
                <w:p w14:paraId="37E51184" w14:textId="7C20A15F" w:rsidR="00C9639A" w:rsidRPr="008331B0" w:rsidRDefault="00C9639A" w:rsidP="0017382B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+</w:t>
                  </w:r>
                  <w:r w:rsidRPr="00EA4A39">
                    <w:t xml:space="preserve"> 5% *(</w:t>
                  </w:r>
                  <w:r w:rsidR="003E000A">
                    <w:t>10</w:t>
                  </w:r>
                  <w:r>
                    <w:t>0</w:t>
                  </w:r>
                  <w:r w:rsidRPr="00EA4A39">
                    <w:t xml:space="preserve">% – </w:t>
                  </w:r>
                  <w:r>
                    <w:t>B</w:t>
                  </w:r>
                  <w:r w:rsidRPr="00EA4A39">
                    <w:t>aseline rate)</w:t>
                  </w:r>
                </w:p>
              </w:tc>
              <w:tc>
                <w:tcPr>
                  <w:tcW w:w="2209" w:type="dxa"/>
                </w:tcPr>
                <w:p w14:paraId="69DDCBF1" w14:textId="77777777" w:rsidR="00C9639A" w:rsidRDefault="00C9639A" w:rsidP="0017382B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+</w:t>
                  </w:r>
                  <w:r w:rsidRPr="00EA4A39">
                    <w:t xml:space="preserve"> </w:t>
                  </w:r>
                  <w:r>
                    <w:t>10</w:t>
                  </w:r>
                  <w:r w:rsidRPr="00EA4A39">
                    <w:t>% *(performance gap)</w:t>
                  </w:r>
                </w:p>
                <w:p w14:paraId="7CE5D854" w14:textId="77777777" w:rsidR="00C9639A" w:rsidRDefault="00C9639A" w:rsidP="0017382B">
                  <w:pPr>
                    <w:pStyle w:val="NoSpacing"/>
                    <w:jc w:val="center"/>
                  </w:pPr>
                  <w:r w:rsidRPr="00EA4A39">
                    <w:t>=</w:t>
                  </w:r>
                </w:p>
                <w:p w14:paraId="18A9116B" w14:textId="0ADBC196" w:rsidR="00C9639A" w:rsidRPr="008331B0" w:rsidRDefault="00C9639A" w:rsidP="0017382B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+</w:t>
                  </w:r>
                  <w:r w:rsidRPr="00EA4A39">
                    <w:t xml:space="preserve"> </w:t>
                  </w:r>
                  <w:r>
                    <w:t>10% *(</w:t>
                  </w:r>
                  <w:r w:rsidR="003E000A">
                    <w:t>10</w:t>
                  </w:r>
                  <w:bookmarkStart w:id="0" w:name="_GoBack"/>
                  <w:bookmarkEnd w:id="0"/>
                  <w:r w:rsidRPr="00EA4A39">
                    <w:t xml:space="preserve">0% – </w:t>
                  </w:r>
                  <w:r>
                    <w:t>B</w:t>
                  </w:r>
                  <w:r w:rsidRPr="00EA4A39">
                    <w:t>aseline rate)</w:t>
                  </w:r>
                </w:p>
              </w:tc>
            </w:tr>
          </w:tbl>
          <w:p w14:paraId="780D73C6" w14:textId="13C1AFF6" w:rsidR="00C9639A" w:rsidRPr="00754D1B" w:rsidRDefault="00C9639A" w:rsidP="00243629">
            <w:pPr>
              <w:pStyle w:val="NoSpacing"/>
            </w:pPr>
          </w:p>
        </w:tc>
      </w:tr>
      <w:tr w:rsidR="00AD706B" w:rsidRPr="00754D1B" w14:paraId="780D73D0" w14:textId="77777777" w:rsidTr="0071629B">
        <w:tc>
          <w:tcPr>
            <w:tcW w:w="2538" w:type="dxa"/>
          </w:tcPr>
          <w:p w14:paraId="780D73C8" w14:textId="77777777" w:rsidR="00AD706B" w:rsidRPr="00754D1B" w:rsidRDefault="00AD706B" w:rsidP="00A374B8">
            <w:pPr>
              <w:pStyle w:val="NoSpacing"/>
              <w:rPr>
                <w:b/>
              </w:rPr>
            </w:pPr>
            <w:r w:rsidRPr="00754D1B">
              <w:rPr>
                <w:b/>
              </w:rPr>
              <w:t>DSRIP-specific modifications to Measure Steward’s specification</w:t>
            </w:r>
          </w:p>
        </w:tc>
        <w:tc>
          <w:tcPr>
            <w:tcW w:w="7038" w:type="dxa"/>
          </w:tcPr>
          <w:p w14:paraId="780D73CF" w14:textId="5E7691EE" w:rsidR="009F78A7" w:rsidRPr="00754D1B" w:rsidRDefault="00546730" w:rsidP="00546730">
            <w:pPr>
              <w:pStyle w:val="NoSpacing"/>
            </w:pPr>
            <w:r w:rsidRPr="00754D1B">
              <w:t>None</w:t>
            </w:r>
          </w:p>
        </w:tc>
      </w:tr>
      <w:tr w:rsidR="00AD706B" w:rsidRPr="00754D1B" w14:paraId="780D73D3" w14:textId="77777777" w:rsidTr="0071629B">
        <w:tc>
          <w:tcPr>
            <w:tcW w:w="2538" w:type="dxa"/>
          </w:tcPr>
          <w:p w14:paraId="780D73D1" w14:textId="77777777" w:rsidR="00AD706B" w:rsidRPr="00754D1B" w:rsidRDefault="00AD706B" w:rsidP="001D6BEA">
            <w:pPr>
              <w:pStyle w:val="NoSpacing"/>
              <w:rPr>
                <w:b/>
              </w:rPr>
            </w:pPr>
            <w:r w:rsidRPr="00754D1B">
              <w:rPr>
                <w:b/>
              </w:rPr>
              <w:t>Denominator</w:t>
            </w:r>
            <w:r w:rsidR="00C01E6F" w:rsidRPr="00754D1B">
              <w:rPr>
                <w:b/>
              </w:rPr>
              <w:t xml:space="preserve"> </w:t>
            </w:r>
            <w:r w:rsidR="00B05CBF" w:rsidRPr="00754D1B">
              <w:rPr>
                <w:b/>
              </w:rPr>
              <w:t>Description</w:t>
            </w:r>
            <w:r w:rsidR="00C01E6F" w:rsidRPr="00754D1B">
              <w:rPr>
                <w:b/>
              </w:rPr>
              <w:t xml:space="preserve"> </w:t>
            </w:r>
          </w:p>
        </w:tc>
        <w:tc>
          <w:tcPr>
            <w:tcW w:w="7038" w:type="dxa"/>
          </w:tcPr>
          <w:p w14:paraId="780D73D2" w14:textId="4C402B3F" w:rsidR="00AD706B" w:rsidRPr="00754D1B" w:rsidRDefault="000E6975" w:rsidP="0024362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Total number of chronic disease patients.  </w:t>
            </w:r>
          </w:p>
        </w:tc>
      </w:tr>
      <w:tr w:rsidR="00787D45" w:rsidRPr="00754D1B" w14:paraId="780D73D6" w14:textId="77777777" w:rsidTr="0071629B">
        <w:trPr>
          <w:trHeight w:val="728"/>
        </w:trPr>
        <w:tc>
          <w:tcPr>
            <w:tcW w:w="2538" w:type="dxa"/>
          </w:tcPr>
          <w:p w14:paraId="780D73D4" w14:textId="77777777" w:rsidR="00787D45" w:rsidRPr="00754D1B" w:rsidRDefault="00787D45" w:rsidP="00C01E6F">
            <w:pPr>
              <w:pStyle w:val="NoSpacing"/>
              <w:rPr>
                <w:b/>
              </w:rPr>
            </w:pPr>
            <w:r w:rsidRPr="00754D1B">
              <w:rPr>
                <w:b/>
              </w:rPr>
              <w:t>Denominator Inclusions</w:t>
            </w:r>
          </w:p>
        </w:tc>
        <w:tc>
          <w:tcPr>
            <w:tcW w:w="7038" w:type="dxa"/>
          </w:tcPr>
          <w:p w14:paraId="780D73D5" w14:textId="36C22603" w:rsidR="00787D45" w:rsidRPr="00754D1B" w:rsidRDefault="00C9639A" w:rsidP="00546730">
            <w:pPr>
              <w:pStyle w:val="NoSpacing"/>
              <w:rPr>
                <w:b/>
              </w:rPr>
            </w:pPr>
            <w:r>
              <w:t>The provider will need to specify the chronic conditions (ex. Patients with CHF and/or Diabetes) being included in the denominator population</w:t>
            </w:r>
          </w:p>
        </w:tc>
      </w:tr>
      <w:tr w:rsidR="00787D45" w:rsidRPr="00754D1B" w14:paraId="780D73D9" w14:textId="77777777" w:rsidTr="0071629B">
        <w:trPr>
          <w:trHeight w:val="710"/>
        </w:trPr>
        <w:tc>
          <w:tcPr>
            <w:tcW w:w="2538" w:type="dxa"/>
          </w:tcPr>
          <w:p w14:paraId="780D73D7" w14:textId="77777777" w:rsidR="00787D45" w:rsidRPr="00754D1B" w:rsidRDefault="00787D45" w:rsidP="00C01E6F">
            <w:pPr>
              <w:pStyle w:val="NoSpacing"/>
              <w:rPr>
                <w:b/>
              </w:rPr>
            </w:pPr>
            <w:r w:rsidRPr="00754D1B">
              <w:rPr>
                <w:b/>
              </w:rPr>
              <w:t>Denominator Exclusions</w:t>
            </w:r>
          </w:p>
        </w:tc>
        <w:tc>
          <w:tcPr>
            <w:tcW w:w="7038" w:type="dxa"/>
          </w:tcPr>
          <w:p w14:paraId="780D73D8" w14:textId="5DA6BF21" w:rsidR="00787D45" w:rsidRPr="00754D1B" w:rsidRDefault="00787D45" w:rsidP="00146542">
            <w:pPr>
              <w:pStyle w:val="NoSpacing"/>
            </w:pPr>
            <w:r w:rsidRPr="00754D1B">
              <w:t>The Measure Steward does not identify specific denominator exclusions beyond what is described i</w:t>
            </w:r>
            <w:r w:rsidR="00146542" w:rsidRPr="00754D1B">
              <w:t>n the denominator description.</w:t>
            </w:r>
          </w:p>
        </w:tc>
      </w:tr>
      <w:tr w:rsidR="00D63CD3" w:rsidRPr="00754D1B" w14:paraId="780D73DF" w14:textId="77777777" w:rsidTr="0071629B">
        <w:tc>
          <w:tcPr>
            <w:tcW w:w="2538" w:type="dxa"/>
          </w:tcPr>
          <w:p w14:paraId="780D73DA" w14:textId="77777777" w:rsidR="00D63CD3" w:rsidRPr="00754D1B" w:rsidRDefault="00D63CD3" w:rsidP="00AF103E">
            <w:pPr>
              <w:pStyle w:val="NoSpacing"/>
              <w:rPr>
                <w:b/>
              </w:rPr>
            </w:pPr>
            <w:r w:rsidRPr="00754D1B">
              <w:rPr>
                <w:b/>
              </w:rPr>
              <w:t>Denominator Size</w:t>
            </w:r>
          </w:p>
        </w:tc>
        <w:tc>
          <w:tcPr>
            <w:tcW w:w="7038" w:type="dxa"/>
          </w:tcPr>
          <w:p w14:paraId="780D73DB" w14:textId="77777777" w:rsidR="00D63CD3" w:rsidRPr="00754D1B" w:rsidRDefault="00D63CD3" w:rsidP="00D63CD3">
            <w:pPr>
              <w:pStyle w:val="NoSpacing"/>
            </w:pPr>
            <w:r w:rsidRPr="00754D1B">
              <w:t xml:space="preserve">Providers must report a </w:t>
            </w:r>
            <w:r w:rsidR="0011709A" w:rsidRPr="00754D1B">
              <w:t>minimum of 3</w:t>
            </w:r>
            <w:r w:rsidR="0032246B" w:rsidRPr="00754D1B">
              <w:t xml:space="preserve">0 cases per measure during a </w:t>
            </w:r>
            <w:r w:rsidR="0011709A" w:rsidRPr="00754D1B">
              <w:t>12-month measurement period (15 cases for a 6-month measurement period)</w:t>
            </w:r>
          </w:p>
          <w:p w14:paraId="780D73DC" w14:textId="77777777" w:rsidR="0032246B" w:rsidRPr="00754D1B" w:rsidRDefault="0032246B" w:rsidP="0032246B">
            <w:pPr>
              <w:pStyle w:val="NoSpacing"/>
              <w:numPr>
                <w:ilvl w:val="0"/>
                <w:numId w:val="8"/>
              </w:numPr>
            </w:pPr>
            <w:r w:rsidRPr="00754D1B">
              <w:t xml:space="preserve">For a measurement period </w:t>
            </w:r>
            <w:r w:rsidR="003A409E" w:rsidRPr="00754D1B">
              <w:t xml:space="preserve">(either 6 or 12 </w:t>
            </w:r>
            <w:r w:rsidR="0011709A" w:rsidRPr="00754D1B">
              <w:t xml:space="preserve">months) where the </w:t>
            </w:r>
            <w:r w:rsidRPr="00754D1B">
              <w:t>denominator size is less than or equal to 75, providers must report on all cases. No sampling is allowed.</w:t>
            </w:r>
          </w:p>
          <w:p w14:paraId="780D73DD" w14:textId="77777777" w:rsidR="0032246B" w:rsidRPr="00754D1B" w:rsidRDefault="0032246B" w:rsidP="0032246B">
            <w:pPr>
              <w:pStyle w:val="NoSpacing"/>
              <w:numPr>
                <w:ilvl w:val="0"/>
                <w:numId w:val="8"/>
              </w:numPr>
            </w:pPr>
            <w:r w:rsidRPr="00754D1B">
              <w:t xml:space="preserve">For a measurement period </w:t>
            </w:r>
            <w:r w:rsidR="003A409E" w:rsidRPr="00754D1B">
              <w:t xml:space="preserve">(either 6 or 12 </w:t>
            </w:r>
            <w:r w:rsidR="0011709A" w:rsidRPr="00754D1B">
              <w:t xml:space="preserve">months) where the </w:t>
            </w:r>
            <w:r w:rsidRPr="00754D1B">
              <w:t xml:space="preserve">denominator size is less than or equal to 380 but greater than 75, providers must report on </w:t>
            </w:r>
            <w:r w:rsidR="003A409E" w:rsidRPr="00754D1B">
              <w:t xml:space="preserve">all cases (preferred, particularly for providers using an electronic health record) or </w:t>
            </w:r>
            <w:r w:rsidRPr="00754D1B">
              <w:t>a random sample of not less than 76 cases.</w:t>
            </w:r>
          </w:p>
          <w:p w14:paraId="780D73DE" w14:textId="77777777" w:rsidR="0032246B" w:rsidRPr="00754D1B" w:rsidRDefault="0032246B" w:rsidP="00561D6D">
            <w:pPr>
              <w:pStyle w:val="NoSpacing"/>
              <w:numPr>
                <w:ilvl w:val="0"/>
                <w:numId w:val="8"/>
              </w:numPr>
            </w:pPr>
            <w:r w:rsidRPr="00754D1B">
              <w:t xml:space="preserve">For a measurement period </w:t>
            </w:r>
            <w:r w:rsidR="0011709A" w:rsidRPr="00754D1B">
              <w:t>(either 6 or 12-months) where the denominator size</w:t>
            </w:r>
            <w:r w:rsidRPr="00754D1B">
              <w:t xml:space="preserve"> is greater than </w:t>
            </w:r>
            <w:r w:rsidR="00561D6D" w:rsidRPr="00754D1B">
              <w:t>380</w:t>
            </w:r>
            <w:r w:rsidRPr="00754D1B">
              <w:t xml:space="preserve">, providers must report on </w:t>
            </w:r>
            <w:r w:rsidR="003A409E" w:rsidRPr="00754D1B">
              <w:t xml:space="preserve">all cases (preferred, particularly for providers using an electronic health record) or </w:t>
            </w:r>
            <w:r w:rsidRPr="00754D1B">
              <w:t xml:space="preserve">a random sample of cases that is not less than 20% of all cases; however, providers may cap the </w:t>
            </w:r>
            <w:r w:rsidR="0011709A" w:rsidRPr="00754D1B">
              <w:t xml:space="preserve">total </w:t>
            </w:r>
            <w:r w:rsidRPr="00754D1B">
              <w:t xml:space="preserve">sample size at 300 cases. </w:t>
            </w:r>
          </w:p>
        </w:tc>
      </w:tr>
      <w:tr w:rsidR="00AC3A97" w:rsidRPr="00754D1B" w14:paraId="780D73E2" w14:textId="77777777" w:rsidTr="0071629B">
        <w:tc>
          <w:tcPr>
            <w:tcW w:w="2538" w:type="dxa"/>
          </w:tcPr>
          <w:p w14:paraId="780D73E0" w14:textId="77777777" w:rsidR="00AC3A97" w:rsidRPr="00754D1B" w:rsidRDefault="00AC3A97" w:rsidP="00AF103E">
            <w:pPr>
              <w:pStyle w:val="NoSpacing"/>
              <w:rPr>
                <w:b/>
              </w:rPr>
            </w:pPr>
            <w:r w:rsidRPr="00754D1B">
              <w:rPr>
                <w:b/>
              </w:rPr>
              <w:lastRenderedPageBreak/>
              <w:t xml:space="preserve">Numerator Description </w:t>
            </w:r>
          </w:p>
        </w:tc>
        <w:tc>
          <w:tcPr>
            <w:tcW w:w="7038" w:type="dxa"/>
          </w:tcPr>
          <w:p w14:paraId="780D73E1" w14:textId="1A4585DB" w:rsidR="00AC3A97" w:rsidRPr="00743A87" w:rsidRDefault="000E6975" w:rsidP="00243629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000000"/>
              </w:rPr>
              <w:t xml:space="preserve">Number of chronic disease patients with </w:t>
            </w:r>
            <w:r w:rsidR="00183329">
              <w:rPr>
                <w:rFonts w:cs="Arial"/>
                <w:color w:val="000000"/>
              </w:rPr>
              <w:t xml:space="preserve">uncontrolled or poorly controlled (to be defined by the provider) </w:t>
            </w:r>
            <w:r>
              <w:rPr>
                <w:rFonts w:cs="Arial"/>
                <w:color w:val="000000"/>
              </w:rPr>
              <w:t xml:space="preserve">disease control status </w:t>
            </w:r>
            <w:r w:rsidR="00243629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following dental treatment</w:t>
            </w:r>
          </w:p>
        </w:tc>
      </w:tr>
      <w:tr w:rsidR="00787D45" w:rsidRPr="00754D1B" w14:paraId="780D73E5" w14:textId="77777777" w:rsidTr="0071629B">
        <w:tc>
          <w:tcPr>
            <w:tcW w:w="2538" w:type="dxa"/>
          </w:tcPr>
          <w:p w14:paraId="780D73E3" w14:textId="77777777" w:rsidR="00787D45" w:rsidRPr="00754D1B" w:rsidRDefault="00787D45" w:rsidP="00AF103E">
            <w:pPr>
              <w:pStyle w:val="NoSpacing"/>
              <w:rPr>
                <w:b/>
              </w:rPr>
            </w:pPr>
            <w:r w:rsidRPr="00754D1B">
              <w:rPr>
                <w:b/>
              </w:rPr>
              <w:t>Numerator Inclusions</w:t>
            </w:r>
          </w:p>
        </w:tc>
        <w:tc>
          <w:tcPr>
            <w:tcW w:w="7038" w:type="dxa"/>
          </w:tcPr>
          <w:p w14:paraId="780D73E4" w14:textId="1505EF5B" w:rsidR="00787D45" w:rsidRPr="00754D1B" w:rsidRDefault="00C9639A" w:rsidP="00183329">
            <w:pPr>
              <w:pStyle w:val="NoSpacing"/>
              <w:rPr>
                <w:b/>
              </w:rPr>
            </w:pPr>
            <w:r>
              <w:t xml:space="preserve">The provider will need to define thresholds for </w:t>
            </w:r>
            <w:r w:rsidR="00183329">
              <w:t>uncontrolled and poorly</w:t>
            </w:r>
            <w:r>
              <w:t xml:space="preserve"> control</w:t>
            </w:r>
            <w:r w:rsidR="00183329">
              <w:t>led disease</w:t>
            </w:r>
            <w:r>
              <w:t xml:space="preserve"> status (ex. HbA1c </w:t>
            </w:r>
            <w:r w:rsidR="00183329">
              <w:t>&gt;</w:t>
            </w:r>
            <w:r>
              <w:t xml:space="preserve"> 9.0%, blood pressure </w:t>
            </w:r>
            <w:r w:rsidR="00183329">
              <w:t>&gt;</w:t>
            </w:r>
            <w:r>
              <w:t xml:space="preserve"> 140/90)</w:t>
            </w:r>
          </w:p>
        </w:tc>
      </w:tr>
      <w:tr w:rsidR="00787D45" w:rsidRPr="00754D1B" w14:paraId="780D73E8" w14:textId="77777777" w:rsidTr="0071629B">
        <w:tc>
          <w:tcPr>
            <w:tcW w:w="2538" w:type="dxa"/>
          </w:tcPr>
          <w:p w14:paraId="780D73E6" w14:textId="77777777" w:rsidR="00787D45" w:rsidRPr="00754D1B" w:rsidRDefault="00787D45" w:rsidP="00AF103E">
            <w:pPr>
              <w:pStyle w:val="NoSpacing"/>
              <w:rPr>
                <w:b/>
              </w:rPr>
            </w:pPr>
            <w:r w:rsidRPr="00754D1B">
              <w:rPr>
                <w:b/>
              </w:rPr>
              <w:t>Numerator Exclusions</w:t>
            </w:r>
          </w:p>
        </w:tc>
        <w:tc>
          <w:tcPr>
            <w:tcW w:w="7038" w:type="dxa"/>
          </w:tcPr>
          <w:p w14:paraId="780D73E7" w14:textId="66745F34" w:rsidR="00787D45" w:rsidRPr="00754D1B" w:rsidRDefault="00787D45" w:rsidP="00146542">
            <w:pPr>
              <w:pStyle w:val="NoSpacing"/>
            </w:pPr>
            <w:r w:rsidRPr="00754D1B">
              <w:t>The Measure Steward does not identify specific numerator exclusions beyond what is described</w:t>
            </w:r>
            <w:r w:rsidR="00146542" w:rsidRPr="00754D1B">
              <w:t xml:space="preserve"> in the numerator description.</w:t>
            </w:r>
          </w:p>
        </w:tc>
      </w:tr>
      <w:tr w:rsidR="00AD706B" w:rsidRPr="00754D1B" w14:paraId="780D73EB" w14:textId="77777777" w:rsidTr="0071629B">
        <w:tc>
          <w:tcPr>
            <w:tcW w:w="2538" w:type="dxa"/>
          </w:tcPr>
          <w:p w14:paraId="780D73E9" w14:textId="77777777" w:rsidR="00AD706B" w:rsidRPr="00754D1B" w:rsidRDefault="00AD706B" w:rsidP="00A374B8">
            <w:pPr>
              <w:pStyle w:val="NoSpacing"/>
              <w:rPr>
                <w:b/>
              </w:rPr>
            </w:pPr>
            <w:r w:rsidRPr="00754D1B">
              <w:rPr>
                <w:b/>
              </w:rPr>
              <w:t>Setting</w:t>
            </w:r>
          </w:p>
        </w:tc>
        <w:tc>
          <w:tcPr>
            <w:tcW w:w="7038" w:type="dxa"/>
          </w:tcPr>
          <w:p w14:paraId="780D73EA" w14:textId="4E7BDCB1" w:rsidR="00AD706B" w:rsidRPr="00754D1B" w:rsidRDefault="00AD706B" w:rsidP="00146542">
            <w:pPr>
              <w:pStyle w:val="NoSpacing"/>
            </w:pPr>
            <w:r w:rsidRPr="00754D1B">
              <w:t>Ambulatory</w:t>
            </w:r>
          </w:p>
        </w:tc>
      </w:tr>
      <w:tr w:rsidR="00AD706B" w:rsidRPr="00754D1B" w14:paraId="780D73EE" w14:textId="77777777" w:rsidTr="0071629B">
        <w:tc>
          <w:tcPr>
            <w:tcW w:w="2538" w:type="dxa"/>
          </w:tcPr>
          <w:p w14:paraId="780D73EC" w14:textId="77777777" w:rsidR="00AD706B" w:rsidRPr="00754D1B" w:rsidRDefault="00AD706B" w:rsidP="00A374B8">
            <w:pPr>
              <w:pStyle w:val="NoSpacing"/>
              <w:rPr>
                <w:b/>
              </w:rPr>
            </w:pPr>
            <w:r w:rsidRPr="00754D1B">
              <w:rPr>
                <w:b/>
              </w:rPr>
              <w:t>Data Source</w:t>
            </w:r>
          </w:p>
        </w:tc>
        <w:tc>
          <w:tcPr>
            <w:tcW w:w="7038" w:type="dxa"/>
          </w:tcPr>
          <w:p w14:paraId="780D73ED" w14:textId="1FBC2C3C" w:rsidR="00AD706B" w:rsidRPr="00754D1B" w:rsidRDefault="00FE5007" w:rsidP="00146542">
            <w:pPr>
              <w:pStyle w:val="NoSpacing"/>
              <w:tabs>
                <w:tab w:val="left" w:pos="1365"/>
              </w:tabs>
            </w:pPr>
            <w:r w:rsidRPr="00FE5007">
              <w:t>Administrative/Clinical data sources; Supplemental data sources</w:t>
            </w:r>
            <w:r w:rsidR="00146542" w:rsidRPr="00754D1B">
              <w:tab/>
            </w:r>
          </w:p>
        </w:tc>
      </w:tr>
      <w:tr w:rsidR="00C9639A" w:rsidRPr="00754D1B" w14:paraId="780D740D" w14:textId="77777777" w:rsidTr="0071629B">
        <w:tc>
          <w:tcPr>
            <w:tcW w:w="2538" w:type="dxa"/>
          </w:tcPr>
          <w:p w14:paraId="780D73EF" w14:textId="10F9B9CA" w:rsidR="00C9639A" w:rsidRPr="00754D1B" w:rsidRDefault="00C9639A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7038" w:type="dxa"/>
          </w:tcPr>
          <w:p w14:paraId="16769407" w14:textId="77777777" w:rsidR="00C9639A" w:rsidRDefault="00C9639A" w:rsidP="0017382B">
            <w:pPr>
              <w:pStyle w:val="NoSpacing"/>
            </w:pPr>
            <w:r>
              <w:t>All denominator subsets are permissible for this outcome</w:t>
            </w:r>
          </w:p>
          <w:p w14:paraId="780D740C" w14:textId="501839F9" w:rsidR="00C9639A" w:rsidRPr="00754D1B" w:rsidRDefault="00C9639A" w:rsidP="007F7C07">
            <w:pPr>
              <w:pStyle w:val="NoSpacing"/>
            </w:pPr>
            <w:r>
              <w:t> </w:t>
            </w:r>
          </w:p>
        </w:tc>
      </w:tr>
    </w:tbl>
    <w:p w14:paraId="780D745C" w14:textId="77777777" w:rsidR="00356CF4" w:rsidRPr="00754D1B" w:rsidRDefault="00356CF4" w:rsidP="007C7C85">
      <w:pPr>
        <w:pStyle w:val="Heading2"/>
        <w:rPr>
          <w:rFonts w:asciiTheme="minorHAnsi" w:hAnsiTheme="minorHAnsi"/>
          <w:sz w:val="22"/>
          <w:szCs w:val="22"/>
        </w:rPr>
      </w:pPr>
    </w:p>
    <w:sectPr w:rsidR="00356CF4" w:rsidRPr="00754D1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14F99" w14:textId="77777777" w:rsidR="001B26C1" w:rsidRDefault="001B26C1" w:rsidP="00F63191">
      <w:pPr>
        <w:spacing w:after="0" w:line="240" w:lineRule="auto"/>
      </w:pPr>
      <w:r>
        <w:separator/>
      </w:r>
    </w:p>
  </w:endnote>
  <w:endnote w:type="continuationSeparator" w:id="0">
    <w:p w14:paraId="244E56FD" w14:textId="77777777" w:rsidR="001B26C1" w:rsidRDefault="001B26C1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DEF5D" w14:textId="5DFB372C" w:rsidR="00CC654F" w:rsidRDefault="00CC654F">
    <w:pPr>
      <w:pStyle w:val="Footer"/>
    </w:pPr>
    <w:r>
      <w:t>9/25/14</w:t>
    </w:r>
  </w:p>
  <w:p w14:paraId="780D7463" w14:textId="77777777" w:rsidR="002E14AF" w:rsidRDefault="002E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8561D" w14:textId="77777777" w:rsidR="001B26C1" w:rsidRDefault="001B26C1" w:rsidP="00F63191">
      <w:pPr>
        <w:spacing w:after="0" w:line="240" w:lineRule="auto"/>
      </w:pPr>
      <w:r>
        <w:separator/>
      </w:r>
    </w:p>
  </w:footnote>
  <w:footnote w:type="continuationSeparator" w:id="0">
    <w:p w14:paraId="44AC102B" w14:textId="77777777" w:rsidR="001B26C1" w:rsidRDefault="001B26C1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D7461" w14:textId="45B14D8D" w:rsidR="008F0411" w:rsidRDefault="008F0411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50383"/>
    <w:rsid w:val="000A2D99"/>
    <w:rsid w:val="000C575F"/>
    <w:rsid w:val="000D1199"/>
    <w:rsid w:val="000D5A2D"/>
    <w:rsid w:val="000E6975"/>
    <w:rsid w:val="000E7EED"/>
    <w:rsid w:val="00100A2F"/>
    <w:rsid w:val="00107C1A"/>
    <w:rsid w:val="00116208"/>
    <w:rsid w:val="0011709A"/>
    <w:rsid w:val="00146542"/>
    <w:rsid w:val="00165D76"/>
    <w:rsid w:val="001724E0"/>
    <w:rsid w:val="00183329"/>
    <w:rsid w:val="001B26C1"/>
    <w:rsid w:val="001D6BEA"/>
    <w:rsid w:val="002224F0"/>
    <w:rsid w:val="00243629"/>
    <w:rsid w:val="00245754"/>
    <w:rsid w:val="00271E53"/>
    <w:rsid w:val="002845C2"/>
    <w:rsid w:val="002E14AF"/>
    <w:rsid w:val="002E456B"/>
    <w:rsid w:val="0032246B"/>
    <w:rsid w:val="003268B7"/>
    <w:rsid w:val="003372B7"/>
    <w:rsid w:val="00346B8D"/>
    <w:rsid w:val="00356CF4"/>
    <w:rsid w:val="00366D0B"/>
    <w:rsid w:val="00375652"/>
    <w:rsid w:val="00383516"/>
    <w:rsid w:val="003844DB"/>
    <w:rsid w:val="003A409E"/>
    <w:rsid w:val="003B32F6"/>
    <w:rsid w:val="003D157D"/>
    <w:rsid w:val="003E000A"/>
    <w:rsid w:val="003F4E8D"/>
    <w:rsid w:val="00416E44"/>
    <w:rsid w:val="00455F41"/>
    <w:rsid w:val="004E7F26"/>
    <w:rsid w:val="00502BE4"/>
    <w:rsid w:val="00506BC5"/>
    <w:rsid w:val="00536799"/>
    <w:rsid w:val="00546730"/>
    <w:rsid w:val="00561D6D"/>
    <w:rsid w:val="005802A0"/>
    <w:rsid w:val="005857E6"/>
    <w:rsid w:val="005B79DD"/>
    <w:rsid w:val="005C70A1"/>
    <w:rsid w:val="005F4D43"/>
    <w:rsid w:val="0071629B"/>
    <w:rsid w:val="007164C7"/>
    <w:rsid w:val="00743628"/>
    <w:rsid w:val="00743A87"/>
    <w:rsid w:val="00750BD3"/>
    <w:rsid w:val="00754D1B"/>
    <w:rsid w:val="00760D27"/>
    <w:rsid w:val="00787D45"/>
    <w:rsid w:val="007C728B"/>
    <w:rsid w:val="007C7C85"/>
    <w:rsid w:val="007E0395"/>
    <w:rsid w:val="007F675B"/>
    <w:rsid w:val="007F7C07"/>
    <w:rsid w:val="00823868"/>
    <w:rsid w:val="00827557"/>
    <w:rsid w:val="008722BB"/>
    <w:rsid w:val="00874FAA"/>
    <w:rsid w:val="008779F5"/>
    <w:rsid w:val="0088642E"/>
    <w:rsid w:val="00886E0E"/>
    <w:rsid w:val="008A5405"/>
    <w:rsid w:val="008D1A8E"/>
    <w:rsid w:val="008F0411"/>
    <w:rsid w:val="008F249E"/>
    <w:rsid w:val="008F5E56"/>
    <w:rsid w:val="0095469F"/>
    <w:rsid w:val="00965A2A"/>
    <w:rsid w:val="00967948"/>
    <w:rsid w:val="00994A41"/>
    <w:rsid w:val="00996DD5"/>
    <w:rsid w:val="009A7508"/>
    <w:rsid w:val="009C6EA3"/>
    <w:rsid w:val="009F04D0"/>
    <w:rsid w:val="009F78A7"/>
    <w:rsid w:val="009F7E66"/>
    <w:rsid w:val="00A11BD9"/>
    <w:rsid w:val="00A82574"/>
    <w:rsid w:val="00AA0CA2"/>
    <w:rsid w:val="00AC3A97"/>
    <w:rsid w:val="00AD706B"/>
    <w:rsid w:val="00AF3A3D"/>
    <w:rsid w:val="00B05CBF"/>
    <w:rsid w:val="00B20462"/>
    <w:rsid w:val="00B546CF"/>
    <w:rsid w:val="00B65D92"/>
    <w:rsid w:val="00B7257A"/>
    <w:rsid w:val="00B72B48"/>
    <w:rsid w:val="00BA61F1"/>
    <w:rsid w:val="00BC4643"/>
    <w:rsid w:val="00C01E6F"/>
    <w:rsid w:val="00C36D72"/>
    <w:rsid w:val="00C86C48"/>
    <w:rsid w:val="00C9639A"/>
    <w:rsid w:val="00C9758A"/>
    <w:rsid w:val="00CA2D3E"/>
    <w:rsid w:val="00CA4C08"/>
    <w:rsid w:val="00CC28BC"/>
    <w:rsid w:val="00CC654F"/>
    <w:rsid w:val="00CD7069"/>
    <w:rsid w:val="00D1777E"/>
    <w:rsid w:val="00D63CD3"/>
    <w:rsid w:val="00DB7651"/>
    <w:rsid w:val="00DE660A"/>
    <w:rsid w:val="00E1692C"/>
    <w:rsid w:val="00E268B0"/>
    <w:rsid w:val="00E43145"/>
    <w:rsid w:val="00EB6678"/>
    <w:rsid w:val="00EF333D"/>
    <w:rsid w:val="00F05C01"/>
    <w:rsid w:val="00F069C3"/>
    <w:rsid w:val="00F06C5E"/>
    <w:rsid w:val="00F20443"/>
    <w:rsid w:val="00F63191"/>
    <w:rsid w:val="00F64CD1"/>
    <w:rsid w:val="00F927B0"/>
    <w:rsid w:val="00F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7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A798-272A-4EC7-85BB-DFB1824B2600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308BC5E-6DF3-471D-956D-A5DFD88A7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75D97F-0731-4ECF-84A5-B404AD898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73FC7A-21A8-4FEA-B9CC-F4B0EE9C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3</cp:revision>
  <dcterms:created xsi:type="dcterms:W3CDTF">2014-09-25T15:44:00Z</dcterms:created>
  <dcterms:modified xsi:type="dcterms:W3CDTF">2014-09-30T15:13:00Z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