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6B" w:rsidRDefault="00AD706B" w:rsidP="00AD706B">
      <w:pPr>
        <w:pStyle w:val="Heading1"/>
      </w:pPr>
      <w:r>
        <w:t>IT-</w:t>
      </w:r>
      <w:r w:rsidR="0054472D">
        <w:t>7.3</w:t>
      </w:r>
      <w:r>
        <w:t xml:space="preserve">:  </w:t>
      </w:r>
      <w:r w:rsidR="0054472D" w:rsidRPr="0054472D">
        <w:t>Early Childhood Caries – Fluoride Applications</w:t>
      </w:r>
    </w:p>
    <w:tbl>
      <w:tblPr>
        <w:tblStyle w:val="TableGrid"/>
        <w:tblW w:w="0" w:type="auto"/>
        <w:tblLayout w:type="fixed"/>
        <w:tblLook w:val="04A0" w:firstRow="1" w:lastRow="0" w:firstColumn="1" w:lastColumn="0" w:noHBand="0" w:noVBand="1"/>
      </w:tblPr>
      <w:tblGrid>
        <w:gridCol w:w="2358"/>
        <w:gridCol w:w="1898"/>
        <w:gridCol w:w="2660"/>
        <w:gridCol w:w="2660"/>
      </w:tblGrid>
      <w:tr w:rsidR="00AD706B" w:rsidTr="00626FE2">
        <w:trPr>
          <w:tblHeader/>
        </w:trPr>
        <w:tc>
          <w:tcPr>
            <w:tcW w:w="2358" w:type="dxa"/>
            <w:shd w:val="clear" w:color="auto" w:fill="F2F2F2" w:themeFill="background1" w:themeFillShade="F2"/>
          </w:tcPr>
          <w:p w:rsidR="00AD706B" w:rsidRPr="00717546" w:rsidRDefault="00AD706B" w:rsidP="00A374B8">
            <w:pPr>
              <w:pStyle w:val="NoSpacing"/>
              <w:rPr>
                <w:b/>
              </w:rPr>
            </w:pPr>
            <w:r w:rsidRPr="00717546">
              <w:rPr>
                <w:b/>
              </w:rPr>
              <w:t>Measure Title</w:t>
            </w:r>
          </w:p>
        </w:tc>
        <w:tc>
          <w:tcPr>
            <w:tcW w:w="7218" w:type="dxa"/>
            <w:gridSpan w:val="3"/>
            <w:shd w:val="clear" w:color="auto" w:fill="F2F2F2" w:themeFill="background1" w:themeFillShade="F2"/>
          </w:tcPr>
          <w:p w:rsidR="00AD706B" w:rsidRPr="008779F5" w:rsidRDefault="0054472D" w:rsidP="0054472D">
            <w:pPr>
              <w:pStyle w:val="NoSpacing"/>
              <w:rPr>
                <w:b/>
              </w:rPr>
            </w:pPr>
            <w:r w:rsidRPr="0054472D">
              <w:rPr>
                <w:b/>
              </w:rPr>
              <w:t xml:space="preserve">Early Childhood Caries – Fluoride Applications </w:t>
            </w:r>
            <w:r w:rsidR="00AD706B" w:rsidRPr="008779F5">
              <w:rPr>
                <w:b/>
              </w:rPr>
              <w:t xml:space="preserve"> </w:t>
            </w:r>
          </w:p>
        </w:tc>
      </w:tr>
      <w:tr w:rsidR="00AD706B" w:rsidTr="00626FE2">
        <w:tc>
          <w:tcPr>
            <w:tcW w:w="2358" w:type="dxa"/>
          </w:tcPr>
          <w:p w:rsidR="00AD706B" w:rsidRPr="00717546" w:rsidRDefault="00AD706B" w:rsidP="00A374B8">
            <w:pPr>
              <w:pStyle w:val="NoSpacing"/>
              <w:rPr>
                <w:b/>
              </w:rPr>
            </w:pPr>
            <w:r w:rsidRPr="00717546">
              <w:rPr>
                <w:b/>
              </w:rPr>
              <w:t>Description</w:t>
            </w:r>
          </w:p>
        </w:tc>
        <w:tc>
          <w:tcPr>
            <w:tcW w:w="7218" w:type="dxa"/>
            <w:gridSpan w:val="3"/>
          </w:tcPr>
          <w:p w:rsidR="000D4CD6" w:rsidRPr="000D4CD6" w:rsidRDefault="003D678C" w:rsidP="000D4CD6">
            <w:pPr>
              <w:rPr>
                <w:rFonts w:ascii="Arial" w:hAnsi="Arial" w:cs="Arial"/>
                <w:sz w:val="20"/>
                <w:szCs w:val="20"/>
              </w:rPr>
            </w:pPr>
            <w:r>
              <w:rPr>
                <w:rFonts w:ascii="Arial" w:hAnsi="Arial" w:cs="Arial"/>
                <w:sz w:val="20"/>
                <w:szCs w:val="20"/>
              </w:rPr>
              <w:t>Primary Caries Prevention Intervention as Offered by Primary Care Providers, including Dentists Percentage of children, age 0</w:t>
            </w:r>
            <w:r>
              <w:rPr>
                <w:rFonts w:ascii="Cambria Math" w:hAnsi="Cambria Math" w:cs="Cambria Math"/>
                <w:sz w:val="20"/>
                <w:szCs w:val="20"/>
              </w:rPr>
              <w:t>‐</w:t>
            </w:r>
            <w:r>
              <w:rPr>
                <w:rFonts w:ascii="Arial" w:hAnsi="Arial" w:cs="Arial"/>
                <w:sz w:val="20"/>
                <w:szCs w:val="20"/>
              </w:rPr>
              <w:t>6 years, who received a fluoride varnish application during the measurement period.</w:t>
            </w:r>
          </w:p>
        </w:tc>
      </w:tr>
      <w:tr w:rsidR="00AD706B" w:rsidTr="00626FE2">
        <w:tc>
          <w:tcPr>
            <w:tcW w:w="2358" w:type="dxa"/>
          </w:tcPr>
          <w:p w:rsidR="00AD706B" w:rsidRPr="00717546" w:rsidRDefault="00AD706B" w:rsidP="00A374B8">
            <w:pPr>
              <w:pStyle w:val="NoSpacing"/>
              <w:rPr>
                <w:b/>
              </w:rPr>
            </w:pPr>
            <w:r w:rsidRPr="00717546">
              <w:rPr>
                <w:b/>
              </w:rPr>
              <w:t>NQF Number</w:t>
            </w:r>
          </w:p>
        </w:tc>
        <w:tc>
          <w:tcPr>
            <w:tcW w:w="7218" w:type="dxa"/>
            <w:gridSpan w:val="3"/>
          </w:tcPr>
          <w:p w:rsidR="00AD706B" w:rsidRDefault="00626FE2" w:rsidP="00626FE2">
            <w:pPr>
              <w:pStyle w:val="NoSpacing"/>
            </w:pPr>
            <w:r>
              <w:t>Not applicable</w:t>
            </w:r>
          </w:p>
        </w:tc>
      </w:tr>
      <w:tr w:rsidR="00AD706B" w:rsidTr="00626FE2">
        <w:tc>
          <w:tcPr>
            <w:tcW w:w="2358" w:type="dxa"/>
          </w:tcPr>
          <w:p w:rsidR="00AD706B" w:rsidRPr="00717546" w:rsidRDefault="00AD706B" w:rsidP="00A374B8">
            <w:pPr>
              <w:pStyle w:val="NoSpacing"/>
              <w:rPr>
                <w:b/>
              </w:rPr>
            </w:pPr>
            <w:r>
              <w:rPr>
                <w:b/>
              </w:rPr>
              <w:t>Measure Steward</w:t>
            </w:r>
          </w:p>
        </w:tc>
        <w:tc>
          <w:tcPr>
            <w:tcW w:w="7218" w:type="dxa"/>
            <w:gridSpan w:val="3"/>
          </w:tcPr>
          <w:p w:rsidR="00AD706B" w:rsidRPr="00631E85" w:rsidRDefault="00626FE2" w:rsidP="00A374B8">
            <w:pPr>
              <w:pStyle w:val="NoSpacing"/>
            </w:pPr>
            <w:r w:rsidRPr="00626FE2">
              <w:t>Health Resources and Services Administration</w:t>
            </w:r>
          </w:p>
        </w:tc>
      </w:tr>
      <w:tr w:rsidR="00AD706B" w:rsidTr="00626FE2">
        <w:tc>
          <w:tcPr>
            <w:tcW w:w="2358" w:type="dxa"/>
          </w:tcPr>
          <w:p w:rsidR="00AD706B" w:rsidRDefault="00AD706B" w:rsidP="00A374B8">
            <w:pPr>
              <w:pStyle w:val="NoSpacing"/>
              <w:rPr>
                <w:b/>
              </w:rPr>
            </w:pPr>
            <w:r>
              <w:rPr>
                <w:b/>
              </w:rPr>
              <w:t>Link to measure citation</w:t>
            </w:r>
          </w:p>
        </w:tc>
        <w:tc>
          <w:tcPr>
            <w:tcW w:w="7218" w:type="dxa"/>
            <w:gridSpan w:val="3"/>
          </w:tcPr>
          <w:p w:rsidR="00AD706B" w:rsidRDefault="002F503E" w:rsidP="00561D6D">
            <w:pPr>
              <w:pStyle w:val="NoSpacing"/>
            </w:pPr>
            <w:hyperlink r:id="rId12" w:history="1">
              <w:r w:rsidR="00626FE2" w:rsidRPr="005D0E4E">
                <w:rPr>
                  <w:rStyle w:val="Hyperlink"/>
                </w:rPr>
                <w:t>http://www.nationaloralhealthconference.com/docs/presentations/2010/Jay%20Anderson%20-%20Improving%20Oral%20Healthcare%20in%20Safety%20Net%20Setti.pdf</w:t>
              </w:r>
            </w:hyperlink>
          </w:p>
          <w:p w:rsidR="00626FE2" w:rsidRDefault="002F503E" w:rsidP="00561D6D">
            <w:pPr>
              <w:pStyle w:val="NoSpacing"/>
            </w:pPr>
            <w:hyperlink r:id="rId13" w:history="1">
              <w:r w:rsidR="00557274" w:rsidRPr="003221E0">
                <w:rPr>
                  <w:rStyle w:val="Hyperlink"/>
                </w:rPr>
                <w:t>http://www.hhsc.state.tx.us/1115-docs/RHP/Category-3-RHP.pdf</w:t>
              </w:r>
            </w:hyperlink>
          </w:p>
          <w:p w:rsidR="00557274" w:rsidRPr="00631E85" w:rsidRDefault="00557274" w:rsidP="00561D6D">
            <w:pPr>
              <w:pStyle w:val="NoSpacing"/>
            </w:pPr>
          </w:p>
        </w:tc>
      </w:tr>
      <w:tr w:rsidR="00AD706B" w:rsidTr="00626FE2">
        <w:tc>
          <w:tcPr>
            <w:tcW w:w="2358" w:type="dxa"/>
          </w:tcPr>
          <w:p w:rsidR="00AD706B" w:rsidRDefault="00AD706B" w:rsidP="00A374B8">
            <w:pPr>
              <w:pStyle w:val="NoSpacing"/>
              <w:rPr>
                <w:b/>
              </w:rPr>
            </w:pPr>
            <w:r>
              <w:rPr>
                <w:b/>
              </w:rPr>
              <w:t>Measure type</w:t>
            </w:r>
          </w:p>
        </w:tc>
        <w:tc>
          <w:tcPr>
            <w:tcW w:w="7218" w:type="dxa"/>
            <w:gridSpan w:val="3"/>
          </w:tcPr>
          <w:p w:rsidR="00AD706B" w:rsidRDefault="00165D76" w:rsidP="00AD706B">
            <w:pPr>
              <w:pStyle w:val="NoSpacing"/>
            </w:pPr>
            <w:r>
              <w:t>Non Stand-A</w:t>
            </w:r>
            <w:r w:rsidR="00AD706B">
              <w:t>lone</w:t>
            </w:r>
            <w:r>
              <w:t xml:space="preserve"> (NSA)</w:t>
            </w:r>
          </w:p>
        </w:tc>
      </w:tr>
      <w:tr w:rsidR="00AD706B" w:rsidTr="00626FE2">
        <w:tc>
          <w:tcPr>
            <w:tcW w:w="2358" w:type="dxa"/>
          </w:tcPr>
          <w:p w:rsidR="00AD706B" w:rsidRDefault="00AD706B" w:rsidP="00A374B8">
            <w:pPr>
              <w:pStyle w:val="NoSpacing"/>
              <w:rPr>
                <w:b/>
              </w:rPr>
            </w:pPr>
            <w:r>
              <w:rPr>
                <w:b/>
              </w:rPr>
              <w:t>Measure status</w:t>
            </w:r>
          </w:p>
        </w:tc>
        <w:tc>
          <w:tcPr>
            <w:tcW w:w="7218" w:type="dxa"/>
            <w:gridSpan w:val="3"/>
          </w:tcPr>
          <w:p w:rsidR="00AD706B" w:rsidRDefault="00AD706B" w:rsidP="00C718F3">
            <w:pPr>
              <w:pStyle w:val="NoSpacing"/>
            </w:pPr>
            <w:r>
              <w:t>P4P</w:t>
            </w:r>
            <w:r w:rsidR="0054472D">
              <w:t xml:space="preserve">. </w:t>
            </w:r>
            <w:bookmarkStart w:id="0" w:name="_GoBack"/>
            <w:bookmarkEnd w:id="0"/>
            <w:r w:rsidR="00C718F3">
              <w:t xml:space="preserve"> </w:t>
            </w:r>
            <w:r w:rsidR="00C718F3">
              <w:t>This measure requires prior authorization for use</w:t>
            </w:r>
          </w:p>
        </w:tc>
      </w:tr>
      <w:tr w:rsidR="00AD706B" w:rsidTr="00626FE2">
        <w:tc>
          <w:tcPr>
            <w:tcW w:w="2358" w:type="dxa"/>
          </w:tcPr>
          <w:p w:rsidR="00AD706B" w:rsidRPr="00717546" w:rsidRDefault="00AD706B" w:rsidP="00A374B8">
            <w:pPr>
              <w:pStyle w:val="NoSpacing"/>
              <w:rPr>
                <w:b/>
              </w:rPr>
            </w:pPr>
            <w:r>
              <w:rPr>
                <w:b/>
              </w:rPr>
              <w:t>DSRIP-specific modifications to Measure Steward’s specification</w:t>
            </w:r>
          </w:p>
        </w:tc>
        <w:tc>
          <w:tcPr>
            <w:tcW w:w="7218" w:type="dxa"/>
            <w:gridSpan w:val="3"/>
          </w:tcPr>
          <w:p w:rsidR="009F78A7" w:rsidRDefault="00626FE2" w:rsidP="00626FE2">
            <w:pPr>
              <w:pStyle w:val="NoSpacing"/>
            </w:pPr>
            <w:r>
              <w:t>None</w:t>
            </w:r>
          </w:p>
        </w:tc>
      </w:tr>
      <w:tr w:rsidR="00AD706B" w:rsidTr="00626FE2">
        <w:tc>
          <w:tcPr>
            <w:tcW w:w="2358" w:type="dxa"/>
          </w:tcPr>
          <w:p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7218" w:type="dxa"/>
            <w:gridSpan w:val="3"/>
          </w:tcPr>
          <w:p w:rsidR="00AD706B" w:rsidRPr="009F7E66" w:rsidRDefault="00557274" w:rsidP="00557274">
            <w:pPr>
              <w:pStyle w:val="NoSpacing"/>
            </w:pPr>
            <w:r>
              <w:t>Total number of children age 0 ‐ 6 years that have been seen by a primary care or dental provider.</w:t>
            </w:r>
          </w:p>
        </w:tc>
      </w:tr>
      <w:tr w:rsidR="00787D45" w:rsidTr="00626FE2">
        <w:trPr>
          <w:trHeight w:val="728"/>
        </w:trPr>
        <w:tc>
          <w:tcPr>
            <w:tcW w:w="2358" w:type="dxa"/>
          </w:tcPr>
          <w:p w:rsidR="00787D45" w:rsidRPr="00717546" w:rsidRDefault="00787D45" w:rsidP="00C01E6F">
            <w:pPr>
              <w:pStyle w:val="NoSpacing"/>
              <w:rPr>
                <w:b/>
              </w:rPr>
            </w:pPr>
            <w:r>
              <w:rPr>
                <w:b/>
              </w:rPr>
              <w:t>Denominator Inclusions</w:t>
            </w:r>
          </w:p>
        </w:tc>
        <w:tc>
          <w:tcPr>
            <w:tcW w:w="7218" w:type="dxa"/>
            <w:gridSpan w:val="3"/>
          </w:tcPr>
          <w:p w:rsidR="00787D45" w:rsidRPr="0012650D" w:rsidRDefault="00787D45" w:rsidP="002F15E3">
            <w:pPr>
              <w:pStyle w:val="NoSpacing"/>
              <w:rPr>
                <w:b/>
              </w:rPr>
            </w:pPr>
            <w:r>
              <w:t>The Measure Steward does not identify specific denominator inclusions beyond what is described in the denominator description.</w:t>
            </w:r>
          </w:p>
        </w:tc>
      </w:tr>
      <w:tr w:rsidR="00787D45" w:rsidTr="00626FE2">
        <w:trPr>
          <w:trHeight w:val="710"/>
        </w:trPr>
        <w:tc>
          <w:tcPr>
            <w:tcW w:w="2358" w:type="dxa"/>
          </w:tcPr>
          <w:p w:rsidR="00787D45" w:rsidRPr="00717546" w:rsidRDefault="00787D45" w:rsidP="00C01E6F">
            <w:pPr>
              <w:pStyle w:val="NoSpacing"/>
              <w:rPr>
                <w:b/>
              </w:rPr>
            </w:pPr>
            <w:r>
              <w:rPr>
                <w:b/>
              </w:rPr>
              <w:t>Denominator Exclusions</w:t>
            </w:r>
          </w:p>
        </w:tc>
        <w:tc>
          <w:tcPr>
            <w:tcW w:w="7218" w:type="dxa"/>
            <w:gridSpan w:val="3"/>
          </w:tcPr>
          <w:p w:rsidR="00787D45" w:rsidRPr="001D6BEA" w:rsidRDefault="00787D45" w:rsidP="002F15E3">
            <w:pPr>
              <w:pStyle w:val="NoSpacing"/>
            </w:pPr>
            <w:r>
              <w:t>The Measure Steward does not identify specific denominator exclusions beyond what is described i</w:t>
            </w:r>
            <w:r w:rsidR="000D4CD6">
              <w:t>n the denominator description.</w:t>
            </w:r>
          </w:p>
        </w:tc>
      </w:tr>
      <w:tr w:rsidR="00D63CD3" w:rsidTr="00626FE2">
        <w:tc>
          <w:tcPr>
            <w:tcW w:w="2358" w:type="dxa"/>
          </w:tcPr>
          <w:p w:rsidR="00D63CD3" w:rsidRDefault="00D63CD3" w:rsidP="00AF103E">
            <w:pPr>
              <w:pStyle w:val="NoSpacing"/>
              <w:rPr>
                <w:b/>
              </w:rPr>
            </w:pPr>
            <w:r>
              <w:rPr>
                <w:b/>
              </w:rPr>
              <w:t>Denominator Size</w:t>
            </w:r>
          </w:p>
        </w:tc>
        <w:tc>
          <w:tcPr>
            <w:tcW w:w="7218" w:type="dxa"/>
            <w:gridSpan w:val="3"/>
          </w:tcPr>
          <w:p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rsidR="0032246B" w:rsidRPr="001D6BEA" w:rsidRDefault="0032246B" w:rsidP="00561D6D">
            <w:pPr>
              <w:pStyle w:val="NoSpacing"/>
              <w:numPr>
                <w:ilvl w:val="0"/>
                <w:numId w:val="8"/>
              </w:numPr>
            </w:pPr>
            <w:r>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rsidTr="00626FE2">
        <w:tc>
          <w:tcPr>
            <w:tcW w:w="2358" w:type="dxa"/>
          </w:tcPr>
          <w:p w:rsidR="00AC3A97" w:rsidRPr="00717546" w:rsidRDefault="00AC3A97" w:rsidP="00AF103E">
            <w:pPr>
              <w:pStyle w:val="NoSpacing"/>
              <w:rPr>
                <w:b/>
              </w:rPr>
            </w:pPr>
            <w:r>
              <w:rPr>
                <w:b/>
              </w:rPr>
              <w:t xml:space="preserve">Numerator Description </w:t>
            </w:r>
          </w:p>
        </w:tc>
        <w:tc>
          <w:tcPr>
            <w:tcW w:w="7218" w:type="dxa"/>
            <w:gridSpan w:val="3"/>
          </w:tcPr>
          <w:p w:rsidR="00557274" w:rsidRDefault="00557274" w:rsidP="00557274">
            <w:pPr>
              <w:pStyle w:val="NoSpacing"/>
            </w:pPr>
            <w:r>
              <w:t>Number of children age 0 ‐ 6 years that have received at least one fluoride</w:t>
            </w:r>
          </w:p>
          <w:p w:rsidR="00AC3A97" w:rsidRPr="009F7E66" w:rsidRDefault="00557274" w:rsidP="00557274">
            <w:pPr>
              <w:pStyle w:val="NoSpacing"/>
            </w:pPr>
            <w:r>
              <w:t>varnish application during the measurement period</w:t>
            </w:r>
          </w:p>
        </w:tc>
      </w:tr>
      <w:tr w:rsidR="00787D45" w:rsidTr="00626FE2">
        <w:tc>
          <w:tcPr>
            <w:tcW w:w="2358" w:type="dxa"/>
          </w:tcPr>
          <w:p w:rsidR="00787D45" w:rsidRPr="00717546" w:rsidRDefault="00787D45" w:rsidP="00AF103E">
            <w:pPr>
              <w:pStyle w:val="NoSpacing"/>
              <w:rPr>
                <w:b/>
              </w:rPr>
            </w:pPr>
            <w:r>
              <w:rPr>
                <w:b/>
              </w:rPr>
              <w:t>Numerator Inclusions</w:t>
            </w:r>
          </w:p>
        </w:tc>
        <w:tc>
          <w:tcPr>
            <w:tcW w:w="7218" w:type="dxa"/>
            <w:gridSpan w:val="3"/>
          </w:tcPr>
          <w:p w:rsidR="00787D45" w:rsidRPr="0012650D" w:rsidRDefault="00787D45" w:rsidP="002F15E3">
            <w:pPr>
              <w:pStyle w:val="NoSpacing"/>
              <w:rPr>
                <w:b/>
              </w:rPr>
            </w:pPr>
            <w:r>
              <w:t>The Measure Steward does not identify specific numerator inclusions beyond what is described</w:t>
            </w:r>
            <w:r w:rsidR="000D4CD6">
              <w:t xml:space="preserve"> in the numerator description.</w:t>
            </w:r>
          </w:p>
        </w:tc>
      </w:tr>
      <w:tr w:rsidR="00787D45" w:rsidTr="00626FE2">
        <w:tc>
          <w:tcPr>
            <w:tcW w:w="2358" w:type="dxa"/>
          </w:tcPr>
          <w:p w:rsidR="00787D45" w:rsidRPr="00717546" w:rsidRDefault="00787D45" w:rsidP="00AF103E">
            <w:pPr>
              <w:pStyle w:val="NoSpacing"/>
              <w:rPr>
                <w:b/>
              </w:rPr>
            </w:pPr>
            <w:r>
              <w:rPr>
                <w:b/>
              </w:rPr>
              <w:t>Numerator Exclusions</w:t>
            </w:r>
          </w:p>
        </w:tc>
        <w:tc>
          <w:tcPr>
            <w:tcW w:w="7218" w:type="dxa"/>
            <w:gridSpan w:val="3"/>
          </w:tcPr>
          <w:p w:rsidR="00787D45" w:rsidRPr="001D6BEA" w:rsidRDefault="00787D45" w:rsidP="002F15E3">
            <w:pPr>
              <w:pStyle w:val="NoSpacing"/>
            </w:pPr>
            <w:r>
              <w:t xml:space="preserve">The Measure Steward does not identify specific numerator exclusions beyond </w:t>
            </w:r>
            <w:r>
              <w:lastRenderedPageBreak/>
              <w:t>what is described</w:t>
            </w:r>
            <w:r w:rsidR="000D4CD6">
              <w:t xml:space="preserve"> in the numerator description.</w:t>
            </w:r>
          </w:p>
        </w:tc>
      </w:tr>
      <w:tr w:rsidR="00AD706B" w:rsidTr="00626FE2">
        <w:tc>
          <w:tcPr>
            <w:tcW w:w="2358" w:type="dxa"/>
          </w:tcPr>
          <w:p w:rsidR="00AD706B" w:rsidRPr="00717546" w:rsidRDefault="00AD706B" w:rsidP="00A374B8">
            <w:pPr>
              <w:pStyle w:val="NoSpacing"/>
              <w:rPr>
                <w:b/>
              </w:rPr>
            </w:pPr>
            <w:r>
              <w:rPr>
                <w:b/>
              </w:rPr>
              <w:lastRenderedPageBreak/>
              <w:t>Setting</w:t>
            </w:r>
          </w:p>
        </w:tc>
        <w:tc>
          <w:tcPr>
            <w:tcW w:w="7218" w:type="dxa"/>
            <w:gridSpan w:val="3"/>
          </w:tcPr>
          <w:p w:rsidR="00AD706B" w:rsidRDefault="00626FE2" w:rsidP="00CD7069">
            <w:pPr>
              <w:pStyle w:val="NoSpacing"/>
            </w:pPr>
            <w:r>
              <w:t>Ambulatory</w:t>
            </w:r>
          </w:p>
        </w:tc>
      </w:tr>
      <w:tr w:rsidR="00AD706B" w:rsidTr="00626FE2">
        <w:tc>
          <w:tcPr>
            <w:tcW w:w="2358" w:type="dxa"/>
          </w:tcPr>
          <w:p w:rsidR="00AD706B" w:rsidRDefault="00AD706B" w:rsidP="00A374B8">
            <w:pPr>
              <w:pStyle w:val="NoSpacing"/>
              <w:rPr>
                <w:b/>
              </w:rPr>
            </w:pPr>
            <w:r>
              <w:rPr>
                <w:b/>
              </w:rPr>
              <w:t>Data Source</w:t>
            </w:r>
          </w:p>
        </w:tc>
        <w:tc>
          <w:tcPr>
            <w:tcW w:w="7218" w:type="dxa"/>
            <w:gridSpan w:val="3"/>
          </w:tcPr>
          <w:p w:rsidR="00AD706B" w:rsidRDefault="00557274" w:rsidP="00557274">
            <w:pPr>
              <w:pStyle w:val="NoSpacing"/>
            </w:pPr>
            <w:r>
              <w:t>EHR, Claims</w:t>
            </w:r>
          </w:p>
        </w:tc>
      </w:tr>
      <w:tr w:rsidR="00AD706B" w:rsidTr="00626FE2">
        <w:tc>
          <w:tcPr>
            <w:tcW w:w="2358" w:type="dxa"/>
          </w:tcPr>
          <w:p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7218" w:type="dxa"/>
            <w:gridSpan w:val="3"/>
          </w:tcPr>
          <w:p w:rsidR="00561D6D" w:rsidRDefault="00561D6D" w:rsidP="00561D6D">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rsidR="00561D6D" w:rsidRDefault="00561D6D" w:rsidP="00A374B8">
            <w:pPr>
              <w:pStyle w:val="NoSpacing"/>
            </w:pPr>
          </w:p>
          <w:p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rsidR="007F7C07" w:rsidRDefault="00416E44" w:rsidP="007F7C07">
            <w:pPr>
              <w:pStyle w:val="NoSpacing"/>
              <w:numPr>
                <w:ilvl w:val="0"/>
                <w:numId w:val="5"/>
              </w:numPr>
            </w:pPr>
            <w:r>
              <w:t>Medicaid</w:t>
            </w:r>
          </w:p>
          <w:p w:rsidR="007F7C07" w:rsidRDefault="007F7C07" w:rsidP="007F7C07">
            <w:pPr>
              <w:pStyle w:val="NoSpacing"/>
              <w:numPr>
                <w:ilvl w:val="0"/>
                <w:numId w:val="5"/>
              </w:numPr>
            </w:pPr>
            <w:r>
              <w:t>Uninsured</w:t>
            </w:r>
            <w:r w:rsidR="00366D0B">
              <w:t>/Indigent</w:t>
            </w:r>
          </w:p>
          <w:p w:rsidR="00366D0B" w:rsidRDefault="00366D0B" w:rsidP="007F7C07">
            <w:pPr>
              <w:pStyle w:val="NoSpacing"/>
              <w:numPr>
                <w:ilvl w:val="0"/>
                <w:numId w:val="5"/>
              </w:numPr>
            </w:pPr>
            <w:r>
              <w:t>Both: Medicaid and Uninsured/Indigent</w:t>
            </w:r>
          </w:p>
          <w:p w:rsidR="000E7EED" w:rsidRDefault="000E7EED" w:rsidP="00A374B8">
            <w:pPr>
              <w:pStyle w:val="NoSpacing"/>
            </w:pPr>
          </w:p>
          <w:p w:rsidR="00CA4C08" w:rsidRDefault="007F7C07" w:rsidP="00CA4C08">
            <w:pPr>
              <w:pStyle w:val="NoSpacing"/>
            </w:pPr>
            <w:r w:rsidRPr="007F7C07">
              <w:rPr>
                <w:b/>
              </w:rPr>
              <w:t>Gender:</w:t>
            </w:r>
            <w:r>
              <w:t xml:space="preserve"> Providers may define the denominator population such that it is limited to one of the following options:</w:t>
            </w:r>
          </w:p>
          <w:p w:rsidR="007F7C07" w:rsidRDefault="007F7C07" w:rsidP="007F7C07">
            <w:pPr>
              <w:pStyle w:val="NoSpacing"/>
              <w:numPr>
                <w:ilvl w:val="0"/>
                <w:numId w:val="6"/>
              </w:numPr>
            </w:pPr>
            <w:r>
              <w:t>Male</w:t>
            </w:r>
          </w:p>
          <w:p w:rsidR="007F7C07" w:rsidRDefault="007F7C07" w:rsidP="007F7C07">
            <w:pPr>
              <w:pStyle w:val="NoSpacing"/>
              <w:numPr>
                <w:ilvl w:val="0"/>
                <w:numId w:val="6"/>
              </w:numPr>
            </w:pPr>
            <w:r>
              <w:t>Female</w:t>
            </w:r>
          </w:p>
          <w:p w:rsidR="007F7C07" w:rsidRDefault="007F7C07" w:rsidP="00CA4C08">
            <w:pPr>
              <w:pStyle w:val="NoSpacing"/>
            </w:pPr>
          </w:p>
          <w:p w:rsidR="007F7C07" w:rsidRDefault="007F7C07" w:rsidP="00CA4C08">
            <w:pPr>
              <w:pStyle w:val="NoSpacing"/>
            </w:pPr>
            <w:r w:rsidRPr="007F7C07">
              <w:rPr>
                <w:b/>
              </w:rPr>
              <w:t>Ethnicity:</w:t>
            </w:r>
            <w:r>
              <w:t xml:space="preserve"> Providers may define the denominator population such that it is limited to one of the following options:</w:t>
            </w:r>
          </w:p>
          <w:p w:rsidR="007F7C07" w:rsidRDefault="007F7C07" w:rsidP="007F7C07">
            <w:pPr>
              <w:pStyle w:val="NoSpacing"/>
              <w:numPr>
                <w:ilvl w:val="0"/>
                <w:numId w:val="7"/>
              </w:numPr>
            </w:pPr>
            <w:r>
              <w:t>White/Caucasian</w:t>
            </w:r>
          </w:p>
          <w:p w:rsidR="007F7C07" w:rsidRDefault="007F7C07" w:rsidP="007F7C07">
            <w:pPr>
              <w:pStyle w:val="NoSpacing"/>
              <w:numPr>
                <w:ilvl w:val="0"/>
                <w:numId w:val="7"/>
              </w:numPr>
            </w:pPr>
            <w:r>
              <w:t>Black/African American</w:t>
            </w:r>
          </w:p>
          <w:p w:rsidR="007F7C07" w:rsidRDefault="007F7C07" w:rsidP="007F7C07">
            <w:pPr>
              <w:pStyle w:val="NoSpacing"/>
              <w:numPr>
                <w:ilvl w:val="0"/>
                <w:numId w:val="7"/>
              </w:numPr>
            </w:pPr>
            <w:r>
              <w:t>Latino/Hispanic</w:t>
            </w:r>
          </w:p>
          <w:p w:rsidR="007F7C07" w:rsidRDefault="007F7C07" w:rsidP="007F7C07">
            <w:pPr>
              <w:pStyle w:val="NoSpacing"/>
              <w:numPr>
                <w:ilvl w:val="0"/>
                <w:numId w:val="7"/>
              </w:numPr>
            </w:pPr>
            <w:r>
              <w:t>Asian</w:t>
            </w:r>
          </w:p>
          <w:p w:rsidR="007F7C07" w:rsidRDefault="007F7C07" w:rsidP="007F7C07">
            <w:pPr>
              <w:pStyle w:val="NoSpacing"/>
              <w:numPr>
                <w:ilvl w:val="0"/>
                <w:numId w:val="7"/>
              </w:numPr>
            </w:pPr>
            <w:r>
              <w:t>American Indian/Alaskan Native</w:t>
            </w:r>
          </w:p>
          <w:p w:rsidR="007F7C07" w:rsidRDefault="007F7C07" w:rsidP="007F7C07">
            <w:pPr>
              <w:pStyle w:val="NoSpacing"/>
              <w:numPr>
                <w:ilvl w:val="0"/>
                <w:numId w:val="7"/>
              </w:numPr>
            </w:pPr>
            <w:r>
              <w:t>Native Hawaiian/Other Pacific Islander</w:t>
            </w:r>
          </w:p>
          <w:p w:rsidR="007F7C07" w:rsidRDefault="007F7C07" w:rsidP="00CA4C08">
            <w:pPr>
              <w:pStyle w:val="NoSpacing"/>
            </w:pPr>
          </w:p>
          <w:p w:rsidR="007F7C07" w:rsidRDefault="007F7C07" w:rsidP="00CA4C08">
            <w:pPr>
              <w:pStyle w:val="NoSpacing"/>
            </w:pPr>
            <w:r w:rsidRPr="007F7C07">
              <w:rPr>
                <w:b/>
              </w:rPr>
              <w:t>Age:</w:t>
            </w:r>
            <w:r>
              <w:t xml:space="preserve"> Providers may define the denominator population such that it is limited to an age range:</w:t>
            </w:r>
          </w:p>
          <w:p w:rsidR="007F7C07" w:rsidRDefault="007F7C07" w:rsidP="007F7C07">
            <w:pPr>
              <w:pStyle w:val="NoSpacing"/>
              <w:ind w:left="720"/>
            </w:pPr>
            <w:r>
              <w:t>Lower Bound: ____ (Provider defined)</w:t>
            </w:r>
          </w:p>
          <w:p w:rsidR="007F7C07" w:rsidRDefault="007F7C07" w:rsidP="007F7C07">
            <w:pPr>
              <w:pStyle w:val="NoSpacing"/>
              <w:ind w:left="720"/>
            </w:pPr>
            <w:r>
              <w:t>Upper Bound: ____ (Provider defined)</w:t>
            </w:r>
          </w:p>
          <w:p w:rsidR="00CA4C08" w:rsidRDefault="00CA4C08" w:rsidP="00CA4C08">
            <w:pPr>
              <w:pStyle w:val="NoSpacing"/>
            </w:pPr>
          </w:p>
          <w:p w:rsidR="00C718F3" w:rsidRDefault="007F7C07" w:rsidP="00C718F3">
            <w:pPr>
              <w:pStyle w:val="NoSpacing"/>
            </w:pPr>
            <w:r>
              <w:rPr>
                <w:b/>
              </w:rPr>
              <w:t>Comorbid Condition</w:t>
            </w:r>
            <w:r w:rsidRPr="007F7C07">
              <w:rPr>
                <w:b/>
              </w:rPr>
              <w:t>:</w:t>
            </w:r>
            <w:r>
              <w:t xml:space="preserve"> </w:t>
            </w:r>
            <w:r w:rsidR="00C718F3">
              <w:t xml:space="preserve"> </w:t>
            </w:r>
            <w:r w:rsidR="00C718F3">
              <w:t>Providers may define the denominator population such that it is limited to individuals with one or more comorbid conditions:</w:t>
            </w:r>
          </w:p>
          <w:p w:rsidR="007F7C07" w:rsidRDefault="007F7C07" w:rsidP="007F7C07">
            <w:pPr>
              <w:pStyle w:val="NoSpacing"/>
            </w:pPr>
          </w:p>
          <w:p w:rsidR="007F7C07" w:rsidRDefault="007F7C07" w:rsidP="00A82574">
            <w:pPr>
              <w:pStyle w:val="NoSpacing"/>
              <w:ind w:left="720"/>
            </w:pPr>
            <w:r>
              <w:t>Comorbid condition: ______________ (Provider defined)</w:t>
            </w:r>
          </w:p>
          <w:p w:rsidR="007F7C07" w:rsidRDefault="007F7C07" w:rsidP="00CA4C08">
            <w:pPr>
              <w:pStyle w:val="NoSpacing"/>
            </w:pPr>
          </w:p>
          <w:p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rsidR="007F7C07" w:rsidRDefault="007F7C07" w:rsidP="00A82574">
            <w:pPr>
              <w:pStyle w:val="NoSpacing"/>
              <w:ind w:left="720"/>
            </w:pPr>
            <w:r>
              <w:t xml:space="preserve">Service Setting/Delivery Location(s): ______________ (Provider defined) </w:t>
            </w:r>
          </w:p>
          <w:p w:rsidR="00F927B0" w:rsidRDefault="00CA4C08" w:rsidP="007F7C07">
            <w:pPr>
              <w:pStyle w:val="NoSpacing"/>
            </w:pPr>
            <w:r>
              <w:t> </w:t>
            </w:r>
          </w:p>
        </w:tc>
      </w:tr>
      <w:tr w:rsidR="00AD706B" w:rsidTr="00626FE2">
        <w:tc>
          <w:tcPr>
            <w:tcW w:w="2358" w:type="dxa"/>
          </w:tcPr>
          <w:p w:rsidR="00AD706B" w:rsidRDefault="00AD706B" w:rsidP="00A374B8">
            <w:pPr>
              <w:pStyle w:val="NoSpacing"/>
              <w:rPr>
                <w:b/>
              </w:rPr>
            </w:pPr>
            <w:r>
              <w:rPr>
                <w:b/>
              </w:rPr>
              <w:t>Demonstration Years</w:t>
            </w:r>
          </w:p>
        </w:tc>
        <w:tc>
          <w:tcPr>
            <w:tcW w:w="1898" w:type="dxa"/>
            <w:shd w:val="clear" w:color="auto" w:fill="D9D9D9" w:themeFill="background1" w:themeFillShade="D9"/>
          </w:tcPr>
          <w:p w:rsidR="00AD706B" w:rsidRPr="0031250D" w:rsidRDefault="00AD706B" w:rsidP="00A374B8">
            <w:pPr>
              <w:pStyle w:val="NoSpacing"/>
              <w:jc w:val="center"/>
              <w:rPr>
                <w:b/>
              </w:rPr>
            </w:pPr>
            <w:r w:rsidRPr="0031250D">
              <w:rPr>
                <w:b/>
              </w:rPr>
              <w:t>DY3</w:t>
            </w:r>
          </w:p>
          <w:p w:rsidR="00AD706B" w:rsidRPr="0031250D" w:rsidRDefault="00AD706B" w:rsidP="00A374B8">
            <w:pPr>
              <w:pStyle w:val="NoSpacing"/>
              <w:jc w:val="center"/>
              <w:rPr>
                <w:b/>
              </w:rPr>
            </w:pPr>
            <w:r w:rsidRPr="0031250D">
              <w:rPr>
                <w:b/>
              </w:rPr>
              <w:t>10/0</w:t>
            </w:r>
            <w:r>
              <w:rPr>
                <w:b/>
              </w:rPr>
              <w:t xml:space="preserve">1/13 – </w:t>
            </w:r>
            <w:r>
              <w:rPr>
                <w:b/>
              </w:rPr>
              <w:lastRenderedPageBreak/>
              <w:t>09</w:t>
            </w:r>
            <w:r w:rsidRPr="0031250D">
              <w:rPr>
                <w:b/>
              </w:rPr>
              <w:t>/30/14</w:t>
            </w:r>
          </w:p>
        </w:tc>
        <w:tc>
          <w:tcPr>
            <w:tcW w:w="2660" w:type="dxa"/>
            <w:shd w:val="clear" w:color="auto" w:fill="D9D9D9" w:themeFill="background1" w:themeFillShade="D9"/>
          </w:tcPr>
          <w:p w:rsidR="00AD706B" w:rsidRPr="0031250D" w:rsidRDefault="00AD706B" w:rsidP="00A374B8">
            <w:pPr>
              <w:pStyle w:val="NoSpacing"/>
              <w:jc w:val="center"/>
              <w:rPr>
                <w:b/>
              </w:rPr>
            </w:pPr>
            <w:r w:rsidRPr="0031250D">
              <w:rPr>
                <w:b/>
              </w:rPr>
              <w:lastRenderedPageBreak/>
              <w:t>DY4</w:t>
            </w:r>
          </w:p>
          <w:p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2660" w:type="dxa"/>
            <w:shd w:val="clear" w:color="auto" w:fill="D9D9D9" w:themeFill="background1" w:themeFillShade="D9"/>
          </w:tcPr>
          <w:p w:rsidR="00AD706B" w:rsidRPr="0031250D" w:rsidRDefault="00AD706B" w:rsidP="00A374B8">
            <w:pPr>
              <w:pStyle w:val="NoSpacing"/>
              <w:jc w:val="center"/>
              <w:rPr>
                <w:b/>
              </w:rPr>
            </w:pPr>
            <w:r w:rsidRPr="0031250D">
              <w:rPr>
                <w:b/>
              </w:rPr>
              <w:t>DY5</w:t>
            </w:r>
          </w:p>
          <w:p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rsidTr="00626FE2">
        <w:tc>
          <w:tcPr>
            <w:tcW w:w="2358" w:type="dxa"/>
          </w:tcPr>
          <w:p w:rsidR="00AD706B" w:rsidRDefault="00AD706B" w:rsidP="00A374B8">
            <w:pPr>
              <w:pStyle w:val="NoSpacing"/>
              <w:rPr>
                <w:b/>
              </w:rPr>
            </w:pPr>
            <w:r>
              <w:rPr>
                <w:b/>
              </w:rPr>
              <w:lastRenderedPageBreak/>
              <w:t>Measurement Periods</w:t>
            </w:r>
          </w:p>
          <w:p w:rsidR="007C728B" w:rsidRDefault="007C728B" w:rsidP="00A374B8">
            <w:pPr>
              <w:pStyle w:val="NoSpacing"/>
              <w:rPr>
                <w:b/>
              </w:rPr>
            </w:pPr>
          </w:p>
          <w:p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1898" w:type="dxa"/>
          </w:tcPr>
          <w:p w:rsidR="00C718F3" w:rsidRDefault="00C718F3" w:rsidP="00C718F3">
            <w:pPr>
              <w:pStyle w:val="NoSpacing"/>
              <w:rPr>
                <w:rFonts w:ascii="Calibri" w:hAnsi="Calibri"/>
                <w:b/>
                <w:bCs/>
              </w:rPr>
            </w:pPr>
            <w:r>
              <w:rPr>
                <w:b/>
                <w:bCs/>
              </w:rPr>
              <w:t xml:space="preserve">Providers must report data for </w:t>
            </w:r>
            <w:r>
              <w:rPr>
                <w:b/>
                <w:bCs/>
                <w:u w:val="single"/>
              </w:rPr>
              <w:t>one</w:t>
            </w:r>
            <w:r>
              <w:rPr>
                <w:b/>
                <w:bCs/>
              </w:rPr>
              <w:t xml:space="preserve"> of the following DY, SFY, or CY time periods:</w:t>
            </w:r>
          </w:p>
          <w:p w:rsidR="00C718F3" w:rsidRDefault="00C718F3" w:rsidP="00C718F3">
            <w:pPr>
              <w:pStyle w:val="NoSpacing"/>
            </w:pPr>
            <w:r>
              <w:rPr>
                <w:u w:val="single"/>
              </w:rPr>
              <w:t>12 Month Period</w:t>
            </w:r>
            <w:r>
              <w:t xml:space="preserve">: </w:t>
            </w:r>
          </w:p>
          <w:p w:rsidR="00C718F3" w:rsidRDefault="00C718F3" w:rsidP="00C718F3">
            <w:pPr>
              <w:pStyle w:val="NoSpacing"/>
              <w:numPr>
                <w:ilvl w:val="0"/>
                <w:numId w:val="10"/>
              </w:numPr>
              <w:ind w:left="504"/>
            </w:pPr>
            <w:r>
              <w:t xml:space="preserve">10/01/13 – 09/30/14, or </w:t>
            </w:r>
          </w:p>
          <w:p w:rsidR="00C718F3" w:rsidRDefault="00C718F3" w:rsidP="00C718F3">
            <w:pPr>
              <w:pStyle w:val="NoSpacing"/>
              <w:numPr>
                <w:ilvl w:val="0"/>
                <w:numId w:val="10"/>
              </w:numPr>
              <w:ind w:left="504"/>
            </w:pPr>
            <w:r>
              <w:t>09/01/13 – 08/31/14, or</w:t>
            </w:r>
          </w:p>
          <w:p w:rsidR="00C718F3" w:rsidRDefault="00C718F3" w:rsidP="00C718F3">
            <w:pPr>
              <w:pStyle w:val="NoSpacing"/>
              <w:numPr>
                <w:ilvl w:val="0"/>
                <w:numId w:val="10"/>
              </w:numPr>
              <w:ind w:left="504"/>
            </w:pPr>
            <w:r>
              <w:t>01/01/13 – 12/31/13, or</w:t>
            </w:r>
          </w:p>
          <w:p w:rsidR="00C718F3" w:rsidRDefault="00C718F3" w:rsidP="00C718F3">
            <w:pPr>
              <w:pStyle w:val="NoSpacing"/>
              <w:numPr>
                <w:ilvl w:val="0"/>
                <w:numId w:val="10"/>
              </w:numPr>
              <w:ind w:left="504"/>
            </w:pPr>
            <w:r>
              <w:t>10/01/12 – 09/30/13, or</w:t>
            </w:r>
          </w:p>
          <w:p w:rsidR="00C718F3" w:rsidRDefault="00C718F3" w:rsidP="00C718F3">
            <w:pPr>
              <w:pStyle w:val="NoSpacing"/>
              <w:numPr>
                <w:ilvl w:val="0"/>
                <w:numId w:val="10"/>
              </w:numPr>
              <w:ind w:left="504"/>
            </w:pPr>
            <w:r>
              <w:t>09/01/12 – 08/31/13</w:t>
            </w:r>
          </w:p>
          <w:p w:rsidR="00C718F3" w:rsidRDefault="00C718F3" w:rsidP="00C718F3">
            <w:pPr>
              <w:pStyle w:val="NoSpacing"/>
            </w:pPr>
            <w:r>
              <w:rPr>
                <w:u w:val="single"/>
              </w:rPr>
              <w:t>6 Month Period</w:t>
            </w:r>
            <w:r>
              <w:t xml:space="preserve">: </w:t>
            </w:r>
          </w:p>
          <w:p w:rsidR="00C718F3" w:rsidRDefault="00C718F3" w:rsidP="00C718F3">
            <w:pPr>
              <w:pStyle w:val="NoSpacing"/>
              <w:numPr>
                <w:ilvl w:val="0"/>
                <w:numId w:val="11"/>
              </w:numPr>
              <w:ind w:left="504"/>
            </w:pPr>
            <w:r>
              <w:t>04/01/14 – 09/30/14, or</w:t>
            </w:r>
          </w:p>
          <w:p w:rsidR="00C718F3" w:rsidRDefault="00C718F3" w:rsidP="00C718F3">
            <w:pPr>
              <w:pStyle w:val="NoSpacing"/>
              <w:numPr>
                <w:ilvl w:val="0"/>
                <w:numId w:val="11"/>
              </w:numPr>
              <w:ind w:left="504"/>
            </w:pPr>
            <w:r>
              <w:t>03/01/13 – 08/31/14, or</w:t>
            </w:r>
          </w:p>
          <w:p w:rsidR="00C718F3" w:rsidRDefault="00C718F3" w:rsidP="00C718F3">
            <w:pPr>
              <w:pStyle w:val="NoSpacing"/>
              <w:numPr>
                <w:ilvl w:val="0"/>
                <w:numId w:val="11"/>
              </w:numPr>
              <w:ind w:left="504"/>
            </w:pPr>
            <w:r>
              <w:t>01/01/13 – 06/30/13, or</w:t>
            </w:r>
          </w:p>
          <w:p w:rsidR="00C718F3" w:rsidRDefault="00C718F3" w:rsidP="00C718F3">
            <w:pPr>
              <w:pStyle w:val="NoSpacing"/>
              <w:numPr>
                <w:ilvl w:val="0"/>
                <w:numId w:val="11"/>
              </w:numPr>
              <w:ind w:left="504"/>
            </w:pPr>
            <w:r>
              <w:t>07/01/13 – 12/31/13</w:t>
            </w:r>
          </w:p>
          <w:p w:rsidR="00F05C01" w:rsidRDefault="00C718F3" w:rsidP="00C718F3">
            <w:pPr>
              <w:pStyle w:val="NoSpacing"/>
            </w:pPr>
            <w:r>
              <w:rPr>
                <w:u w:val="single"/>
              </w:rPr>
              <w:t>Other</w:t>
            </w:r>
            <w:r>
              <w:t>: Providers specify/propose an alternative 6 or 12 month time period to be reviewed and approved by HHSC.</w:t>
            </w:r>
          </w:p>
        </w:tc>
        <w:tc>
          <w:tcPr>
            <w:tcW w:w="2660" w:type="dxa"/>
          </w:tcPr>
          <w:p w:rsidR="00743628" w:rsidRDefault="00886E0E" w:rsidP="00886E0E">
            <w:pPr>
              <w:pStyle w:val="NoSpacing"/>
              <w:rPr>
                <w:b/>
              </w:rPr>
            </w:pPr>
            <w:r>
              <w:rPr>
                <w:b/>
              </w:rPr>
              <w:t>Providers</w:t>
            </w:r>
            <w:r w:rsidR="00743628">
              <w:rPr>
                <w:b/>
              </w:rPr>
              <w:t xml:space="preserve"> must report data across a 12-month time period that meets the following parameters:</w:t>
            </w:r>
          </w:p>
          <w:p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660" w:type="dxa"/>
          </w:tcPr>
          <w:p w:rsidR="00743628" w:rsidRDefault="00743628" w:rsidP="00743628">
            <w:pPr>
              <w:pStyle w:val="NoSpacing"/>
              <w:rPr>
                <w:b/>
              </w:rPr>
            </w:pPr>
            <w:r>
              <w:rPr>
                <w:b/>
              </w:rPr>
              <w:t>Providers must report data across a 12-month time period that meets the following parameters:</w:t>
            </w:r>
          </w:p>
          <w:p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rsidTr="00626FE2">
        <w:tc>
          <w:tcPr>
            <w:tcW w:w="2358" w:type="dxa"/>
          </w:tcPr>
          <w:p w:rsidR="00AD706B" w:rsidRDefault="00AD706B" w:rsidP="00A374B8">
            <w:pPr>
              <w:pStyle w:val="NoSpacing"/>
              <w:rPr>
                <w:b/>
              </w:rPr>
            </w:pPr>
            <w:r>
              <w:rPr>
                <w:b/>
              </w:rPr>
              <w:t>Reporting Opportunities to HHSC</w:t>
            </w:r>
          </w:p>
        </w:tc>
        <w:tc>
          <w:tcPr>
            <w:tcW w:w="1898" w:type="dxa"/>
          </w:tcPr>
          <w:p w:rsidR="00AD706B" w:rsidRDefault="00AD706B" w:rsidP="00A374B8">
            <w:pPr>
              <w:pStyle w:val="NoSpacing"/>
              <w:jc w:val="center"/>
            </w:pPr>
            <w:r w:rsidRPr="00135F3A">
              <w:t>10</w:t>
            </w:r>
            <w:r>
              <w:t>/31/2014</w:t>
            </w:r>
          </w:p>
        </w:tc>
        <w:tc>
          <w:tcPr>
            <w:tcW w:w="2660" w:type="dxa"/>
          </w:tcPr>
          <w:p w:rsidR="00AD706B" w:rsidRPr="00135F3A" w:rsidRDefault="00AD706B" w:rsidP="00A374B8">
            <w:pPr>
              <w:pStyle w:val="NoSpacing"/>
              <w:jc w:val="center"/>
            </w:pPr>
            <w:r w:rsidRPr="00135F3A">
              <w:t>4/30/2015</w:t>
            </w:r>
          </w:p>
          <w:p w:rsidR="00AD706B" w:rsidRPr="00AC6074" w:rsidRDefault="00AD706B" w:rsidP="00A374B8">
            <w:pPr>
              <w:pStyle w:val="NoSpacing"/>
              <w:jc w:val="center"/>
              <w:rPr>
                <w:b/>
              </w:rPr>
            </w:pPr>
            <w:r w:rsidRPr="00135F3A">
              <w:t>10/31/2015</w:t>
            </w:r>
          </w:p>
        </w:tc>
        <w:tc>
          <w:tcPr>
            <w:tcW w:w="2660" w:type="dxa"/>
          </w:tcPr>
          <w:p w:rsidR="00AD706B" w:rsidRPr="00135F3A" w:rsidRDefault="00AD706B" w:rsidP="00A374B8">
            <w:pPr>
              <w:pStyle w:val="NoSpacing"/>
              <w:jc w:val="center"/>
            </w:pPr>
            <w:r w:rsidRPr="00135F3A">
              <w:t>4/30/2016</w:t>
            </w:r>
          </w:p>
          <w:p w:rsidR="00AD706B" w:rsidRDefault="00AD706B" w:rsidP="00A374B8">
            <w:pPr>
              <w:pStyle w:val="NoSpacing"/>
              <w:jc w:val="center"/>
              <w:rPr>
                <w:b/>
              </w:rPr>
            </w:pPr>
            <w:r w:rsidRPr="00135F3A">
              <w:t>10/31/2016</w:t>
            </w:r>
          </w:p>
        </w:tc>
      </w:tr>
      <w:tr w:rsidR="000D1199" w:rsidTr="00626FE2">
        <w:tc>
          <w:tcPr>
            <w:tcW w:w="2358" w:type="dxa"/>
          </w:tcPr>
          <w:p w:rsidR="000D1199" w:rsidRDefault="000D1199" w:rsidP="000D1199">
            <w:pPr>
              <w:pStyle w:val="NoSpacing"/>
              <w:rPr>
                <w:b/>
              </w:rPr>
            </w:pPr>
            <w:r>
              <w:rPr>
                <w:b/>
              </w:rPr>
              <w:t>Pay for Performance Target Methodology</w:t>
            </w:r>
          </w:p>
          <w:p w:rsidR="000D1199" w:rsidRDefault="000D1199" w:rsidP="000D1199">
            <w:pPr>
              <w:pStyle w:val="NoSpacing"/>
              <w:rPr>
                <w:b/>
              </w:rPr>
            </w:pPr>
          </w:p>
          <w:p w:rsidR="000D1199" w:rsidRPr="00375652" w:rsidRDefault="000D1199" w:rsidP="000D1199">
            <w:pPr>
              <w:pStyle w:val="NoSpacing"/>
              <w:rPr>
                <w:i/>
              </w:rPr>
            </w:pPr>
          </w:p>
          <w:p w:rsidR="000D1199" w:rsidRPr="000D1199" w:rsidRDefault="000D1199" w:rsidP="000D1199">
            <w:pPr>
              <w:pStyle w:val="NoSpacing"/>
            </w:pPr>
          </w:p>
        </w:tc>
        <w:tc>
          <w:tcPr>
            <w:tcW w:w="1898" w:type="dxa"/>
          </w:tcPr>
          <w:p w:rsidR="000D1199" w:rsidRDefault="000D1199" w:rsidP="000D1199">
            <w:pPr>
              <w:pStyle w:val="NoSpacing"/>
            </w:pPr>
            <w:r>
              <w:t>Not Applicable</w:t>
            </w:r>
          </w:p>
        </w:tc>
        <w:tc>
          <w:tcPr>
            <w:tcW w:w="2660" w:type="dxa"/>
          </w:tcPr>
          <w:p w:rsidR="000D1199" w:rsidRDefault="000D1199" w:rsidP="00557274">
            <w:pPr>
              <w:pStyle w:val="NoSpacing"/>
            </w:pPr>
            <w:r>
              <w:t>Improvement Over Self</w:t>
            </w:r>
          </w:p>
        </w:tc>
        <w:tc>
          <w:tcPr>
            <w:tcW w:w="2660" w:type="dxa"/>
          </w:tcPr>
          <w:p w:rsidR="000D1199" w:rsidRDefault="00557274" w:rsidP="000D1199">
            <w:pPr>
              <w:pStyle w:val="NoSpacing"/>
            </w:pPr>
            <w:r>
              <w:t>Improvement Over Self</w:t>
            </w:r>
          </w:p>
        </w:tc>
      </w:tr>
    </w:tbl>
    <w:p w:rsidR="00356CF4" w:rsidRPr="008F249E" w:rsidRDefault="00356CF4" w:rsidP="007C7C85">
      <w:pPr>
        <w:pStyle w:val="Heading2"/>
      </w:pPr>
    </w:p>
    <w:sectPr w:rsidR="00356CF4" w:rsidRPr="008F249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7A" w:rsidRDefault="00B7257A" w:rsidP="00F63191">
      <w:pPr>
        <w:spacing w:after="0" w:line="240" w:lineRule="auto"/>
      </w:pPr>
      <w:r>
        <w:separator/>
      </w:r>
    </w:p>
  </w:endnote>
  <w:endnote w:type="continuationSeparator" w:id="0">
    <w:p w:rsidR="00B7257A" w:rsidRDefault="00B7257A"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rsidR="002E14AF" w:rsidRDefault="002E14AF">
        <w:pPr>
          <w:pStyle w:val="Footer"/>
          <w:jc w:val="right"/>
        </w:pPr>
        <w:r>
          <w:fldChar w:fldCharType="begin"/>
        </w:r>
        <w:r>
          <w:instrText xml:space="preserve"> PAGE   \* MERGEFORMAT </w:instrText>
        </w:r>
        <w:r>
          <w:fldChar w:fldCharType="separate"/>
        </w:r>
        <w:r w:rsidR="002F503E">
          <w:rPr>
            <w:noProof/>
          </w:rPr>
          <w:t>1</w:t>
        </w:r>
        <w:r>
          <w:rPr>
            <w:noProof/>
          </w:rPr>
          <w:fldChar w:fldCharType="end"/>
        </w:r>
      </w:p>
    </w:sdtContent>
  </w:sdt>
  <w:p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7A" w:rsidRDefault="00B7257A" w:rsidP="00F63191">
      <w:pPr>
        <w:spacing w:after="0" w:line="240" w:lineRule="auto"/>
      </w:pPr>
      <w:r>
        <w:separator/>
      </w:r>
    </w:p>
  </w:footnote>
  <w:footnote w:type="continuationSeparator" w:id="0">
    <w:p w:rsidR="00B7257A" w:rsidRDefault="00B7257A"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C575F"/>
    <w:rsid w:val="000D1199"/>
    <w:rsid w:val="000D4CD6"/>
    <w:rsid w:val="000D5A2D"/>
    <w:rsid w:val="000E7EED"/>
    <w:rsid w:val="00100A2F"/>
    <w:rsid w:val="00107C1A"/>
    <w:rsid w:val="0011709A"/>
    <w:rsid w:val="00165D76"/>
    <w:rsid w:val="00172DBD"/>
    <w:rsid w:val="001D6BEA"/>
    <w:rsid w:val="002224F0"/>
    <w:rsid w:val="00245754"/>
    <w:rsid w:val="00271E53"/>
    <w:rsid w:val="002845C2"/>
    <w:rsid w:val="002E14AF"/>
    <w:rsid w:val="002F503E"/>
    <w:rsid w:val="0032246B"/>
    <w:rsid w:val="00346B8D"/>
    <w:rsid w:val="00356CF4"/>
    <w:rsid w:val="00366D0B"/>
    <w:rsid w:val="00375652"/>
    <w:rsid w:val="00383516"/>
    <w:rsid w:val="003844DB"/>
    <w:rsid w:val="003A409E"/>
    <w:rsid w:val="003D678C"/>
    <w:rsid w:val="003F4E8D"/>
    <w:rsid w:val="00412C9D"/>
    <w:rsid w:val="00416E44"/>
    <w:rsid w:val="00502BE4"/>
    <w:rsid w:val="00506BC5"/>
    <w:rsid w:val="00536799"/>
    <w:rsid w:val="0054472D"/>
    <w:rsid w:val="00557274"/>
    <w:rsid w:val="00561D6D"/>
    <w:rsid w:val="005802A0"/>
    <w:rsid w:val="005857E6"/>
    <w:rsid w:val="005B79DD"/>
    <w:rsid w:val="005C70A1"/>
    <w:rsid w:val="005F4D43"/>
    <w:rsid w:val="00626FE2"/>
    <w:rsid w:val="007164C7"/>
    <w:rsid w:val="00743628"/>
    <w:rsid w:val="00760D27"/>
    <w:rsid w:val="00787D45"/>
    <w:rsid w:val="007C728B"/>
    <w:rsid w:val="007C7C85"/>
    <w:rsid w:val="007E0395"/>
    <w:rsid w:val="007F264D"/>
    <w:rsid w:val="007F675B"/>
    <w:rsid w:val="007F7C07"/>
    <w:rsid w:val="00823868"/>
    <w:rsid w:val="00827557"/>
    <w:rsid w:val="008722BB"/>
    <w:rsid w:val="008779F5"/>
    <w:rsid w:val="0088642E"/>
    <w:rsid w:val="00886E0E"/>
    <w:rsid w:val="008A5405"/>
    <w:rsid w:val="008D1A8E"/>
    <w:rsid w:val="008F0411"/>
    <w:rsid w:val="008F249E"/>
    <w:rsid w:val="00965A2A"/>
    <w:rsid w:val="00967948"/>
    <w:rsid w:val="00994A41"/>
    <w:rsid w:val="00996DD5"/>
    <w:rsid w:val="009C6EA3"/>
    <w:rsid w:val="009F04D0"/>
    <w:rsid w:val="009F78A7"/>
    <w:rsid w:val="009F7E66"/>
    <w:rsid w:val="00A11BD9"/>
    <w:rsid w:val="00A82574"/>
    <w:rsid w:val="00AC3A97"/>
    <w:rsid w:val="00AD706B"/>
    <w:rsid w:val="00AF3A3D"/>
    <w:rsid w:val="00B05CBF"/>
    <w:rsid w:val="00B20462"/>
    <w:rsid w:val="00B546CF"/>
    <w:rsid w:val="00B65D92"/>
    <w:rsid w:val="00B7257A"/>
    <w:rsid w:val="00BA61F1"/>
    <w:rsid w:val="00BC4643"/>
    <w:rsid w:val="00C01E6F"/>
    <w:rsid w:val="00C718F3"/>
    <w:rsid w:val="00C86C48"/>
    <w:rsid w:val="00C9758A"/>
    <w:rsid w:val="00CA2D3E"/>
    <w:rsid w:val="00CA4C08"/>
    <w:rsid w:val="00CC28BC"/>
    <w:rsid w:val="00CD7069"/>
    <w:rsid w:val="00D1777E"/>
    <w:rsid w:val="00D63CD3"/>
    <w:rsid w:val="00DB7651"/>
    <w:rsid w:val="00DE660A"/>
    <w:rsid w:val="00E43145"/>
    <w:rsid w:val="00EB6678"/>
    <w:rsid w:val="00EF333D"/>
    <w:rsid w:val="00F05C01"/>
    <w:rsid w:val="00F069C3"/>
    <w:rsid w:val="00F06C5E"/>
    <w:rsid w:val="00F20443"/>
    <w:rsid w:val="00F63191"/>
    <w:rsid w:val="00F64CD1"/>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344946764">
      <w:bodyDiv w:val="1"/>
      <w:marLeft w:val="0"/>
      <w:marRight w:val="0"/>
      <w:marTop w:val="0"/>
      <w:marBottom w:val="0"/>
      <w:divBdr>
        <w:top w:val="none" w:sz="0" w:space="0" w:color="auto"/>
        <w:left w:val="none" w:sz="0" w:space="0" w:color="auto"/>
        <w:bottom w:val="none" w:sz="0" w:space="0" w:color="auto"/>
        <w:right w:val="none" w:sz="0" w:space="0" w:color="auto"/>
      </w:divBdr>
      <w:divsChild>
        <w:div w:id="1028408304">
          <w:marLeft w:val="0"/>
          <w:marRight w:val="0"/>
          <w:marTop w:val="0"/>
          <w:marBottom w:val="0"/>
          <w:divBdr>
            <w:top w:val="none" w:sz="0" w:space="0" w:color="auto"/>
            <w:left w:val="none" w:sz="0" w:space="0" w:color="auto"/>
            <w:bottom w:val="none" w:sz="0" w:space="0" w:color="auto"/>
            <w:right w:val="none" w:sz="0" w:space="0" w:color="auto"/>
          </w:divBdr>
        </w:div>
        <w:div w:id="1566917078">
          <w:marLeft w:val="0"/>
          <w:marRight w:val="0"/>
          <w:marTop w:val="0"/>
          <w:marBottom w:val="0"/>
          <w:divBdr>
            <w:top w:val="none" w:sz="0" w:space="0" w:color="auto"/>
            <w:left w:val="none" w:sz="0" w:space="0" w:color="auto"/>
            <w:bottom w:val="none" w:sz="0" w:space="0" w:color="auto"/>
            <w:right w:val="none" w:sz="0" w:space="0" w:color="auto"/>
          </w:divBdr>
        </w:div>
        <w:div w:id="1348676249">
          <w:marLeft w:val="0"/>
          <w:marRight w:val="0"/>
          <w:marTop w:val="0"/>
          <w:marBottom w:val="0"/>
          <w:divBdr>
            <w:top w:val="none" w:sz="0" w:space="0" w:color="auto"/>
            <w:left w:val="none" w:sz="0" w:space="0" w:color="auto"/>
            <w:bottom w:val="none" w:sz="0" w:space="0" w:color="auto"/>
            <w:right w:val="none" w:sz="0" w:space="0" w:color="auto"/>
          </w:divBdr>
        </w:div>
        <w:div w:id="1259825425">
          <w:marLeft w:val="0"/>
          <w:marRight w:val="0"/>
          <w:marTop w:val="0"/>
          <w:marBottom w:val="0"/>
          <w:divBdr>
            <w:top w:val="none" w:sz="0" w:space="0" w:color="auto"/>
            <w:left w:val="none" w:sz="0" w:space="0" w:color="auto"/>
            <w:bottom w:val="none" w:sz="0" w:space="0" w:color="auto"/>
            <w:right w:val="none" w:sz="0" w:space="0" w:color="auto"/>
          </w:divBdr>
        </w:div>
        <w:div w:id="1202865439">
          <w:marLeft w:val="0"/>
          <w:marRight w:val="0"/>
          <w:marTop w:val="0"/>
          <w:marBottom w:val="0"/>
          <w:divBdr>
            <w:top w:val="none" w:sz="0" w:space="0" w:color="auto"/>
            <w:left w:val="none" w:sz="0" w:space="0" w:color="auto"/>
            <w:bottom w:val="none" w:sz="0" w:space="0" w:color="auto"/>
            <w:right w:val="none" w:sz="0" w:space="0" w:color="auto"/>
          </w:divBdr>
        </w:div>
        <w:div w:id="1203052481">
          <w:marLeft w:val="0"/>
          <w:marRight w:val="0"/>
          <w:marTop w:val="0"/>
          <w:marBottom w:val="0"/>
          <w:divBdr>
            <w:top w:val="none" w:sz="0" w:space="0" w:color="auto"/>
            <w:left w:val="none" w:sz="0" w:space="0" w:color="auto"/>
            <w:bottom w:val="none" w:sz="0" w:space="0" w:color="auto"/>
            <w:right w:val="none" w:sz="0" w:space="0" w:color="auto"/>
          </w:divBdr>
        </w:div>
        <w:div w:id="1030494867">
          <w:marLeft w:val="0"/>
          <w:marRight w:val="0"/>
          <w:marTop w:val="0"/>
          <w:marBottom w:val="0"/>
          <w:divBdr>
            <w:top w:val="none" w:sz="0" w:space="0" w:color="auto"/>
            <w:left w:val="none" w:sz="0" w:space="0" w:color="auto"/>
            <w:bottom w:val="none" w:sz="0" w:space="0" w:color="auto"/>
            <w:right w:val="none" w:sz="0" w:space="0" w:color="auto"/>
          </w:divBdr>
        </w:div>
        <w:div w:id="209265659">
          <w:marLeft w:val="0"/>
          <w:marRight w:val="0"/>
          <w:marTop w:val="0"/>
          <w:marBottom w:val="0"/>
          <w:divBdr>
            <w:top w:val="none" w:sz="0" w:space="0" w:color="auto"/>
            <w:left w:val="none" w:sz="0" w:space="0" w:color="auto"/>
            <w:bottom w:val="none" w:sz="0" w:space="0" w:color="auto"/>
            <w:right w:val="none" w:sz="0" w:space="0" w:color="auto"/>
          </w:divBdr>
        </w:div>
        <w:div w:id="1755206201">
          <w:marLeft w:val="0"/>
          <w:marRight w:val="0"/>
          <w:marTop w:val="0"/>
          <w:marBottom w:val="0"/>
          <w:divBdr>
            <w:top w:val="none" w:sz="0" w:space="0" w:color="auto"/>
            <w:left w:val="none" w:sz="0" w:space="0" w:color="auto"/>
            <w:bottom w:val="none" w:sz="0" w:space="0" w:color="auto"/>
            <w:right w:val="none" w:sz="0" w:space="0" w:color="auto"/>
          </w:divBdr>
        </w:div>
        <w:div w:id="1707413522">
          <w:marLeft w:val="0"/>
          <w:marRight w:val="0"/>
          <w:marTop w:val="0"/>
          <w:marBottom w:val="0"/>
          <w:divBdr>
            <w:top w:val="none" w:sz="0" w:space="0" w:color="auto"/>
            <w:left w:val="none" w:sz="0" w:space="0" w:color="auto"/>
            <w:bottom w:val="none" w:sz="0" w:space="0" w:color="auto"/>
            <w:right w:val="none" w:sz="0" w:space="0" w:color="auto"/>
          </w:divBdr>
        </w:div>
        <w:div w:id="2111701093">
          <w:marLeft w:val="0"/>
          <w:marRight w:val="0"/>
          <w:marTop w:val="0"/>
          <w:marBottom w:val="0"/>
          <w:divBdr>
            <w:top w:val="none" w:sz="0" w:space="0" w:color="auto"/>
            <w:left w:val="none" w:sz="0" w:space="0" w:color="auto"/>
            <w:bottom w:val="none" w:sz="0" w:space="0" w:color="auto"/>
            <w:right w:val="none" w:sz="0" w:space="0" w:color="auto"/>
          </w:divBdr>
        </w:div>
        <w:div w:id="820275378">
          <w:marLeft w:val="0"/>
          <w:marRight w:val="0"/>
          <w:marTop w:val="0"/>
          <w:marBottom w:val="0"/>
          <w:divBdr>
            <w:top w:val="none" w:sz="0" w:space="0" w:color="auto"/>
            <w:left w:val="none" w:sz="0" w:space="0" w:color="auto"/>
            <w:bottom w:val="none" w:sz="0" w:space="0" w:color="auto"/>
            <w:right w:val="none" w:sz="0" w:space="0" w:color="auto"/>
          </w:divBdr>
        </w:div>
        <w:div w:id="489638541">
          <w:marLeft w:val="0"/>
          <w:marRight w:val="0"/>
          <w:marTop w:val="0"/>
          <w:marBottom w:val="0"/>
          <w:divBdr>
            <w:top w:val="none" w:sz="0" w:space="0" w:color="auto"/>
            <w:left w:val="none" w:sz="0" w:space="0" w:color="auto"/>
            <w:bottom w:val="none" w:sz="0" w:space="0" w:color="auto"/>
            <w:right w:val="none" w:sz="0" w:space="0" w:color="auto"/>
          </w:divBdr>
        </w:div>
        <w:div w:id="763453319">
          <w:marLeft w:val="0"/>
          <w:marRight w:val="0"/>
          <w:marTop w:val="0"/>
          <w:marBottom w:val="0"/>
          <w:divBdr>
            <w:top w:val="none" w:sz="0" w:space="0" w:color="auto"/>
            <w:left w:val="none" w:sz="0" w:space="0" w:color="auto"/>
            <w:bottom w:val="none" w:sz="0" w:space="0" w:color="auto"/>
            <w:right w:val="none" w:sz="0" w:space="0" w:color="auto"/>
          </w:divBdr>
        </w:div>
        <w:div w:id="1455908607">
          <w:marLeft w:val="0"/>
          <w:marRight w:val="0"/>
          <w:marTop w:val="0"/>
          <w:marBottom w:val="0"/>
          <w:divBdr>
            <w:top w:val="none" w:sz="0" w:space="0" w:color="auto"/>
            <w:left w:val="none" w:sz="0" w:space="0" w:color="auto"/>
            <w:bottom w:val="none" w:sz="0" w:space="0" w:color="auto"/>
            <w:right w:val="none" w:sz="0" w:space="0" w:color="auto"/>
          </w:divBdr>
        </w:div>
        <w:div w:id="1730374218">
          <w:marLeft w:val="0"/>
          <w:marRight w:val="0"/>
          <w:marTop w:val="0"/>
          <w:marBottom w:val="0"/>
          <w:divBdr>
            <w:top w:val="none" w:sz="0" w:space="0" w:color="auto"/>
            <w:left w:val="none" w:sz="0" w:space="0" w:color="auto"/>
            <w:bottom w:val="none" w:sz="0" w:space="0" w:color="auto"/>
            <w:right w:val="none" w:sz="0" w:space="0" w:color="auto"/>
          </w:divBdr>
        </w:div>
        <w:div w:id="840122593">
          <w:marLeft w:val="0"/>
          <w:marRight w:val="0"/>
          <w:marTop w:val="0"/>
          <w:marBottom w:val="0"/>
          <w:divBdr>
            <w:top w:val="none" w:sz="0" w:space="0" w:color="auto"/>
            <w:left w:val="none" w:sz="0" w:space="0" w:color="auto"/>
            <w:bottom w:val="none" w:sz="0" w:space="0" w:color="auto"/>
            <w:right w:val="none" w:sz="0" w:space="0" w:color="auto"/>
          </w:divBdr>
        </w:div>
        <w:div w:id="228540079">
          <w:marLeft w:val="0"/>
          <w:marRight w:val="0"/>
          <w:marTop w:val="0"/>
          <w:marBottom w:val="0"/>
          <w:divBdr>
            <w:top w:val="none" w:sz="0" w:space="0" w:color="auto"/>
            <w:left w:val="none" w:sz="0" w:space="0" w:color="auto"/>
            <w:bottom w:val="none" w:sz="0" w:space="0" w:color="auto"/>
            <w:right w:val="none" w:sz="0" w:space="0" w:color="auto"/>
          </w:divBdr>
        </w:div>
        <w:div w:id="1569074846">
          <w:marLeft w:val="0"/>
          <w:marRight w:val="0"/>
          <w:marTop w:val="0"/>
          <w:marBottom w:val="0"/>
          <w:divBdr>
            <w:top w:val="none" w:sz="0" w:space="0" w:color="auto"/>
            <w:left w:val="none" w:sz="0" w:space="0" w:color="auto"/>
            <w:bottom w:val="none" w:sz="0" w:space="0" w:color="auto"/>
            <w:right w:val="none" w:sz="0" w:space="0" w:color="auto"/>
          </w:divBdr>
        </w:div>
        <w:div w:id="134835616">
          <w:marLeft w:val="0"/>
          <w:marRight w:val="0"/>
          <w:marTop w:val="0"/>
          <w:marBottom w:val="0"/>
          <w:divBdr>
            <w:top w:val="none" w:sz="0" w:space="0" w:color="auto"/>
            <w:left w:val="none" w:sz="0" w:space="0" w:color="auto"/>
            <w:bottom w:val="none" w:sz="0" w:space="0" w:color="auto"/>
            <w:right w:val="none" w:sz="0" w:space="0" w:color="auto"/>
          </w:divBdr>
        </w:div>
        <w:div w:id="1252010237">
          <w:marLeft w:val="0"/>
          <w:marRight w:val="0"/>
          <w:marTop w:val="0"/>
          <w:marBottom w:val="0"/>
          <w:divBdr>
            <w:top w:val="none" w:sz="0" w:space="0" w:color="auto"/>
            <w:left w:val="none" w:sz="0" w:space="0" w:color="auto"/>
            <w:bottom w:val="none" w:sz="0" w:space="0" w:color="auto"/>
            <w:right w:val="none" w:sz="0" w:space="0" w:color="auto"/>
          </w:divBdr>
        </w:div>
      </w:divsChild>
    </w:div>
    <w:div w:id="1119494056">
      <w:bodyDiv w:val="1"/>
      <w:marLeft w:val="0"/>
      <w:marRight w:val="0"/>
      <w:marTop w:val="0"/>
      <w:marBottom w:val="0"/>
      <w:divBdr>
        <w:top w:val="none" w:sz="0" w:space="0" w:color="auto"/>
        <w:left w:val="none" w:sz="0" w:space="0" w:color="auto"/>
        <w:bottom w:val="none" w:sz="0" w:space="0" w:color="auto"/>
        <w:right w:val="none" w:sz="0" w:space="0" w:color="auto"/>
      </w:divBdr>
    </w:div>
    <w:div w:id="1327710218">
      <w:bodyDiv w:val="1"/>
      <w:marLeft w:val="0"/>
      <w:marRight w:val="0"/>
      <w:marTop w:val="0"/>
      <w:marBottom w:val="0"/>
      <w:divBdr>
        <w:top w:val="none" w:sz="0" w:space="0" w:color="auto"/>
        <w:left w:val="none" w:sz="0" w:space="0" w:color="auto"/>
        <w:bottom w:val="none" w:sz="0" w:space="0" w:color="auto"/>
        <w:right w:val="none" w:sz="0" w:space="0" w:color="auto"/>
      </w:divBdr>
    </w:div>
    <w:div w:id="1435125093">
      <w:bodyDiv w:val="1"/>
      <w:marLeft w:val="0"/>
      <w:marRight w:val="0"/>
      <w:marTop w:val="0"/>
      <w:marBottom w:val="0"/>
      <w:divBdr>
        <w:top w:val="none" w:sz="0" w:space="0" w:color="auto"/>
        <w:left w:val="none" w:sz="0" w:space="0" w:color="auto"/>
        <w:bottom w:val="none" w:sz="0" w:space="0" w:color="auto"/>
        <w:right w:val="none" w:sz="0" w:space="0" w:color="auto"/>
      </w:divBdr>
      <w:divsChild>
        <w:div w:id="1373963507">
          <w:marLeft w:val="0"/>
          <w:marRight w:val="0"/>
          <w:marTop w:val="0"/>
          <w:marBottom w:val="0"/>
          <w:divBdr>
            <w:top w:val="none" w:sz="0" w:space="0" w:color="auto"/>
            <w:left w:val="none" w:sz="0" w:space="0" w:color="auto"/>
            <w:bottom w:val="none" w:sz="0" w:space="0" w:color="auto"/>
            <w:right w:val="none" w:sz="0" w:space="0" w:color="auto"/>
          </w:divBdr>
        </w:div>
        <w:div w:id="1628242664">
          <w:marLeft w:val="0"/>
          <w:marRight w:val="0"/>
          <w:marTop w:val="0"/>
          <w:marBottom w:val="0"/>
          <w:divBdr>
            <w:top w:val="none" w:sz="0" w:space="0" w:color="auto"/>
            <w:left w:val="none" w:sz="0" w:space="0" w:color="auto"/>
            <w:bottom w:val="none" w:sz="0" w:space="0" w:color="auto"/>
            <w:right w:val="none" w:sz="0" w:space="0" w:color="auto"/>
          </w:divBdr>
        </w:div>
        <w:div w:id="1943880526">
          <w:marLeft w:val="0"/>
          <w:marRight w:val="0"/>
          <w:marTop w:val="0"/>
          <w:marBottom w:val="0"/>
          <w:divBdr>
            <w:top w:val="none" w:sz="0" w:space="0" w:color="auto"/>
            <w:left w:val="none" w:sz="0" w:space="0" w:color="auto"/>
            <w:bottom w:val="none" w:sz="0" w:space="0" w:color="auto"/>
            <w:right w:val="none" w:sz="0" w:space="0" w:color="auto"/>
          </w:divBdr>
        </w:div>
        <w:div w:id="558831245">
          <w:marLeft w:val="0"/>
          <w:marRight w:val="0"/>
          <w:marTop w:val="0"/>
          <w:marBottom w:val="0"/>
          <w:divBdr>
            <w:top w:val="none" w:sz="0" w:space="0" w:color="auto"/>
            <w:left w:val="none" w:sz="0" w:space="0" w:color="auto"/>
            <w:bottom w:val="none" w:sz="0" w:space="0" w:color="auto"/>
            <w:right w:val="none" w:sz="0" w:space="0" w:color="auto"/>
          </w:divBdr>
        </w:div>
        <w:div w:id="460879665">
          <w:marLeft w:val="0"/>
          <w:marRight w:val="0"/>
          <w:marTop w:val="0"/>
          <w:marBottom w:val="0"/>
          <w:divBdr>
            <w:top w:val="none" w:sz="0" w:space="0" w:color="auto"/>
            <w:left w:val="none" w:sz="0" w:space="0" w:color="auto"/>
            <w:bottom w:val="none" w:sz="0" w:space="0" w:color="auto"/>
            <w:right w:val="none" w:sz="0" w:space="0" w:color="auto"/>
          </w:divBdr>
        </w:div>
        <w:div w:id="1266309963">
          <w:marLeft w:val="0"/>
          <w:marRight w:val="0"/>
          <w:marTop w:val="0"/>
          <w:marBottom w:val="0"/>
          <w:divBdr>
            <w:top w:val="none" w:sz="0" w:space="0" w:color="auto"/>
            <w:left w:val="none" w:sz="0" w:space="0" w:color="auto"/>
            <w:bottom w:val="none" w:sz="0" w:space="0" w:color="auto"/>
            <w:right w:val="none" w:sz="0" w:space="0" w:color="auto"/>
          </w:divBdr>
        </w:div>
        <w:div w:id="2121486664">
          <w:marLeft w:val="0"/>
          <w:marRight w:val="0"/>
          <w:marTop w:val="0"/>
          <w:marBottom w:val="0"/>
          <w:divBdr>
            <w:top w:val="none" w:sz="0" w:space="0" w:color="auto"/>
            <w:left w:val="none" w:sz="0" w:space="0" w:color="auto"/>
            <w:bottom w:val="none" w:sz="0" w:space="0" w:color="auto"/>
            <w:right w:val="none" w:sz="0" w:space="0" w:color="auto"/>
          </w:divBdr>
        </w:div>
        <w:div w:id="1317221323">
          <w:marLeft w:val="0"/>
          <w:marRight w:val="0"/>
          <w:marTop w:val="0"/>
          <w:marBottom w:val="0"/>
          <w:divBdr>
            <w:top w:val="none" w:sz="0" w:space="0" w:color="auto"/>
            <w:left w:val="none" w:sz="0" w:space="0" w:color="auto"/>
            <w:bottom w:val="none" w:sz="0" w:space="0" w:color="auto"/>
            <w:right w:val="none" w:sz="0" w:space="0" w:color="auto"/>
          </w:divBdr>
        </w:div>
        <w:div w:id="336273231">
          <w:marLeft w:val="0"/>
          <w:marRight w:val="0"/>
          <w:marTop w:val="0"/>
          <w:marBottom w:val="0"/>
          <w:divBdr>
            <w:top w:val="none" w:sz="0" w:space="0" w:color="auto"/>
            <w:left w:val="none" w:sz="0" w:space="0" w:color="auto"/>
            <w:bottom w:val="none" w:sz="0" w:space="0" w:color="auto"/>
            <w:right w:val="none" w:sz="0" w:space="0" w:color="auto"/>
          </w:divBdr>
        </w:div>
        <w:div w:id="604926769">
          <w:marLeft w:val="0"/>
          <w:marRight w:val="0"/>
          <w:marTop w:val="0"/>
          <w:marBottom w:val="0"/>
          <w:divBdr>
            <w:top w:val="none" w:sz="0" w:space="0" w:color="auto"/>
            <w:left w:val="none" w:sz="0" w:space="0" w:color="auto"/>
            <w:bottom w:val="none" w:sz="0" w:space="0" w:color="auto"/>
            <w:right w:val="none" w:sz="0" w:space="0" w:color="auto"/>
          </w:divBdr>
        </w:div>
        <w:div w:id="1182747307">
          <w:marLeft w:val="0"/>
          <w:marRight w:val="0"/>
          <w:marTop w:val="0"/>
          <w:marBottom w:val="0"/>
          <w:divBdr>
            <w:top w:val="none" w:sz="0" w:space="0" w:color="auto"/>
            <w:left w:val="none" w:sz="0" w:space="0" w:color="auto"/>
            <w:bottom w:val="none" w:sz="0" w:space="0" w:color="auto"/>
            <w:right w:val="none" w:sz="0" w:space="0" w:color="auto"/>
          </w:divBdr>
        </w:div>
        <w:div w:id="798452782">
          <w:marLeft w:val="0"/>
          <w:marRight w:val="0"/>
          <w:marTop w:val="0"/>
          <w:marBottom w:val="0"/>
          <w:divBdr>
            <w:top w:val="none" w:sz="0" w:space="0" w:color="auto"/>
            <w:left w:val="none" w:sz="0" w:space="0" w:color="auto"/>
            <w:bottom w:val="none" w:sz="0" w:space="0" w:color="auto"/>
            <w:right w:val="none" w:sz="0" w:space="0" w:color="auto"/>
          </w:divBdr>
        </w:div>
        <w:div w:id="907959964">
          <w:marLeft w:val="0"/>
          <w:marRight w:val="0"/>
          <w:marTop w:val="0"/>
          <w:marBottom w:val="0"/>
          <w:divBdr>
            <w:top w:val="none" w:sz="0" w:space="0" w:color="auto"/>
            <w:left w:val="none" w:sz="0" w:space="0" w:color="auto"/>
            <w:bottom w:val="none" w:sz="0" w:space="0" w:color="auto"/>
            <w:right w:val="none" w:sz="0" w:space="0" w:color="auto"/>
          </w:divBdr>
        </w:div>
        <w:div w:id="766383764">
          <w:marLeft w:val="0"/>
          <w:marRight w:val="0"/>
          <w:marTop w:val="0"/>
          <w:marBottom w:val="0"/>
          <w:divBdr>
            <w:top w:val="none" w:sz="0" w:space="0" w:color="auto"/>
            <w:left w:val="none" w:sz="0" w:space="0" w:color="auto"/>
            <w:bottom w:val="none" w:sz="0" w:space="0" w:color="auto"/>
            <w:right w:val="none" w:sz="0" w:space="0" w:color="auto"/>
          </w:divBdr>
        </w:div>
        <w:div w:id="1044670856">
          <w:marLeft w:val="0"/>
          <w:marRight w:val="0"/>
          <w:marTop w:val="0"/>
          <w:marBottom w:val="0"/>
          <w:divBdr>
            <w:top w:val="none" w:sz="0" w:space="0" w:color="auto"/>
            <w:left w:val="none" w:sz="0" w:space="0" w:color="auto"/>
            <w:bottom w:val="none" w:sz="0" w:space="0" w:color="auto"/>
            <w:right w:val="none" w:sz="0" w:space="0" w:color="auto"/>
          </w:divBdr>
        </w:div>
        <w:div w:id="961427030">
          <w:marLeft w:val="0"/>
          <w:marRight w:val="0"/>
          <w:marTop w:val="0"/>
          <w:marBottom w:val="0"/>
          <w:divBdr>
            <w:top w:val="none" w:sz="0" w:space="0" w:color="auto"/>
            <w:left w:val="none" w:sz="0" w:space="0" w:color="auto"/>
            <w:bottom w:val="none" w:sz="0" w:space="0" w:color="auto"/>
            <w:right w:val="none" w:sz="0" w:space="0" w:color="auto"/>
          </w:divBdr>
        </w:div>
        <w:div w:id="223219841">
          <w:marLeft w:val="0"/>
          <w:marRight w:val="0"/>
          <w:marTop w:val="0"/>
          <w:marBottom w:val="0"/>
          <w:divBdr>
            <w:top w:val="none" w:sz="0" w:space="0" w:color="auto"/>
            <w:left w:val="none" w:sz="0" w:space="0" w:color="auto"/>
            <w:bottom w:val="none" w:sz="0" w:space="0" w:color="auto"/>
            <w:right w:val="none" w:sz="0" w:space="0" w:color="auto"/>
          </w:divBdr>
        </w:div>
        <w:div w:id="1128085945">
          <w:marLeft w:val="0"/>
          <w:marRight w:val="0"/>
          <w:marTop w:val="0"/>
          <w:marBottom w:val="0"/>
          <w:divBdr>
            <w:top w:val="none" w:sz="0" w:space="0" w:color="auto"/>
            <w:left w:val="none" w:sz="0" w:space="0" w:color="auto"/>
            <w:bottom w:val="none" w:sz="0" w:space="0" w:color="auto"/>
            <w:right w:val="none" w:sz="0" w:space="0" w:color="auto"/>
          </w:divBdr>
        </w:div>
        <w:div w:id="360085007">
          <w:marLeft w:val="0"/>
          <w:marRight w:val="0"/>
          <w:marTop w:val="0"/>
          <w:marBottom w:val="0"/>
          <w:divBdr>
            <w:top w:val="none" w:sz="0" w:space="0" w:color="auto"/>
            <w:left w:val="none" w:sz="0" w:space="0" w:color="auto"/>
            <w:bottom w:val="none" w:sz="0" w:space="0" w:color="auto"/>
            <w:right w:val="none" w:sz="0" w:space="0" w:color="auto"/>
          </w:divBdr>
        </w:div>
        <w:div w:id="933247716">
          <w:marLeft w:val="0"/>
          <w:marRight w:val="0"/>
          <w:marTop w:val="0"/>
          <w:marBottom w:val="0"/>
          <w:divBdr>
            <w:top w:val="none" w:sz="0" w:space="0" w:color="auto"/>
            <w:left w:val="none" w:sz="0" w:space="0" w:color="auto"/>
            <w:bottom w:val="none" w:sz="0" w:space="0" w:color="auto"/>
            <w:right w:val="none" w:sz="0" w:space="0" w:color="auto"/>
          </w:divBdr>
        </w:div>
      </w:divsChild>
    </w:div>
    <w:div w:id="1625766244">
      <w:bodyDiv w:val="1"/>
      <w:marLeft w:val="0"/>
      <w:marRight w:val="0"/>
      <w:marTop w:val="0"/>
      <w:marBottom w:val="0"/>
      <w:divBdr>
        <w:top w:val="none" w:sz="0" w:space="0" w:color="auto"/>
        <w:left w:val="none" w:sz="0" w:space="0" w:color="auto"/>
        <w:bottom w:val="none" w:sz="0" w:space="0" w:color="auto"/>
        <w:right w:val="none" w:sz="0" w:space="0" w:color="auto"/>
      </w:divBdr>
      <w:divsChild>
        <w:div w:id="2039311145">
          <w:marLeft w:val="0"/>
          <w:marRight w:val="0"/>
          <w:marTop w:val="0"/>
          <w:marBottom w:val="0"/>
          <w:divBdr>
            <w:top w:val="none" w:sz="0" w:space="0" w:color="auto"/>
            <w:left w:val="none" w:sz="0" w:space="0" w:color="auto"/>
            <w:bottom w:val="none" w:sz="0" w:space="0" w:color="auto"/>
            <w:right w:val="none" w:sz="0" w:space="0" w:color="auto"/>
          </w:divBdr>
        </w:div>
        <w:div w:id="1027216835">
          <w:marLeft w:val="0"/>
          <w:marRight w:val="0"/>
          <w:marTop w:val="0"/>
          <w:marBottom w:val="0"/>
          <w:divBdr>
            <w:top w:val="none" w:sz="0" w:space="0" w:color="auto"/>
            <w:left w:val="none" w:sz="0" w:space="0" w:color="auto"/>
            <w:bottom w:val="none" w:sz="0" w:space="0" w:color="auto"/>
            <w:right w:val="none" w:sz="0" w:space="0" w:color="auto"/>
          </w:divBdr>
        </w:div>
      </w:divsChild>
    </w:div>
    <w:div w:id="1876193698">
      <w:bodyDiv w:val="1"/>
      <w:marLeft w:val="0"/>
      <w:marRight w:val="0"/>
      <w:marTop w:val="0"/>
      <w:marBottom w:val="0"/>
      <w:divBdr>
        <w:top w:val="none" w:sz="0" w:space="0" w:color="auto"/>
        <w:left w:val="none" w:sz="0" w:space="0" w:color="auto"/>
        <w:bottom w:val="none" w:sz="0" w:space="0" w:color="auto"/>
        <w:right w:val="none" w:sz="0" w:space="0" w:color="auto"/>
      </w:divBdr>
      <w:divsChild>
        <w:div w:id="943657013">
          <w:marLeft w:val="0"/>
          <w:marRight w:val="0"/>
          <w:marTop w:val="0"/>
          <w:marBottom w:val="0"/>
          <w:divBdr>
            <w:top w:val="none" w:sz="0" w:space="0" w:color="auto"/>
            <w:left w:val="none" w:sz="0" w:space="0" w:color="auto"/>
            <w:bottom w:val="none" w:sz="0" w:space="0" w:color="auto"/>
            <w:right w:val="none" w:sz="0" w:space="0" w:color="auto"/>
          </w:divBdr>
        </w:div>
        <w:div w:id="1019550391">
          <w:marLeft w:val="0"/>
          <w:marRight w:val="0"/>
          <w:marTop w:val="0"/>
          <w:marBottom w:val="0"/>
          <w:divBdr>
            <w:top w:val="none" w:sz="0" w:space="0" w:color="auto"/>
            <w:left w:val="none" w:sz="0" w:space="0" w:color="auto"/>
            <w:bottom w:val="none" w:sz="0" w:space="0" w:color="auto"/>
            <w:right w:val="none" w:sz="0" w:space="0" w:color="auto"/>
          </w:divBdr>
        </w:div>
        <w:div w:id="1716544692">
          <w:marLeft w:val="0"/>
          <w:marRight w:val="0"/>
          <w:marTop w:val="0"/>
          <w:marBottom w:val="0"/>
          <w:divBdr>
            <w:top w:val="none" w:sz="0" w:space="0" w:color="auto"/>
            <w:left w:val="none" w:sz="0" w:space="0" w:color="auto"/>
            <w:bottom w:val="none" w:sz="0" w:space="0" w:color="auto"/>
            <w:right w:val="none" w:sz="0" w:space="0" w:color="auto"/>
          </w:divBdr>
        </w:div>
        <w:div w:id="2037808194">
          <w:marLeft w:val="0"/>
          <w:marRight w:val="0"/>
          <w:marTop w:val="0"/>
          <w:marBottom w:val="0"/>
          <w:divBdr>
            <w:top w:val="none" w:sz="0" w:space="0" w:color="auto"/>
            <w:left w:val="none" w:sz="0" w:space="0" w:color="auto"/>
            <w:bottom w:val="none" w:sz="0" w:space="0" w:color="auto"/>
            <w:right w:val="none" w:sz="0" w:space="0" w:color="auto"/>
          </w:divBdr>
        </w:div>
        <w:div w:id="308218847">
          <w:marLeft w:val="0"/>
          <w:marRight w:val="0"/>
          <w:marTop w:val="0"/>
          <w:marBottom w:val="0"/>
          <w:divBdr>
            <w:top w:val="none" w:sz="0" w:space="0" w:color="auto"/>
            <w:left w:val="none" w:sz="0" w:space="0" w:color="auto"/>
            <w:bottom w:val="none" w:sz="0" w:space="0" w:color="auto"/>
            <w:right w:val="none" w:sz="0" w:space="0" w:color="auto"/>
          </w:divBdr>
        </w:div>
        <w:div w:id="141822420">
          <w:marLeft w:val="0"/>
          <w:marRight w:val="0"/>
          <w:marTop w:val="0"/>
          <w:marBottom w:val="0"/>
          <w:divBdr>
            <w:top w:val="none" w:sz="0" w:space="0" w:color="auto"/>
            <w:left w:val="none" w:sz="0" w:space="0" w:color="auto"/>
            <w:bottom w:val="none" w:sz="0" w:space="0" w:color="auto"/>
            <w:right w:val="none" w:sz="0" w:space="0" w:color="auto"/>
          </w:divBdr>
        </w:div>
        <w:div w:id="91361737">
          <w:marLeft w:val="0"/>
          <w:marRight w:val="0"/>
          <w:marTop w:val="0"/>
          <w:marBottom w:val="0"/>
          <w:divBdr>
            <w:top w:val="none" w:sz="0" w:space="0" w:color="auto"/>
            <w:left w:val="none" w:sz="0" w:space="0" w:color="auto"/>
            <w:bottom w:val="none" w:sz="0" w:space="0" w:color="auto"/>
            <w:right w:val="none" w:sz="0" w:space="0" w:color="auto"/>
          </w:divBdr>
        </w:div>
        <w:div w:id="1687756892">
          <w:marLeft w:val="0"/>
          <w:marRight w:val="0"/>
          <w:marTop w:val="0"/>
          <w:marBottom w:val="0"/>
          <w:divBdr>
            <w:top w:val="none" w:sz="0" w:space="0" w:color="auto"/>
            <w:left w:val="none" w:sz="0" w:space="0" w:color="auto"/>
            <w:bottom w:val="none" w:sz="0" w:space="0" w:color="auto"/>
            <w:right w:val="none" w:sz="0" w:space="0" w:color="auto"/>
          </w:divBdr>
        </w:div>
        <w:div w:id="72357922">
          <w:marLeft w:val="0"/>
          <w:marRight w:val="0"/>
          <w:marTop w:val="0"/>
          <w:marBottom w:val="0"/>
          <w:divBdr>
            <w:top w:val="none" w:sz="0" w:space="0" w:color="auto"/>
            <w:left w:val="none" w:sz="0" w:space="0" w:color="auto"/>
            <w:bottom w:val="none" w:sz="0" w:space="0" w:color="auto"/>
            <w:right w:val="none" w:sz="0" w:space="0" w:color="auto"/>
          </w:divBdr>
        </w:div>
        <w:div w:id="1456218355">
          <w:marLeft w:val="0"/>
          <w:marRight w:val="0"/>
          <w:marTop w:val="0"/>
          <w:marBottom w:val="0"/>
          <w:divBdr>
            <w:top w:val="none" w:sz="0" w:space="0" w:color="auto"/>
            <w:left w:val="none" w:sz="0" w:space="0" w:color="auto"/>
            <w:bottom w:val="none" w:sz="0" w:space="0" w:color="auto"/>
            <w:right w:val="none" w:sz="0" w:space="0" w:color="auto"/>
          </w:divBdr>
        </w:div>
        <w:div w:id="750543606">
          <w:marLeft w:val="0"/>
          <w:marRight w:val="0"/>
          <w:marTop w:val="0"/>
          <w:marBottom w:val="0"/>
          <w:divBdr>
            <w:top w:val="none" w:sz="0" w:space="0" w:color="auto"/>
            <w:left w:val="none" w:sz="0" w:space="0" w:color="auto"/>
            <w:bottom w:val="none" w:sz="0" w:space="0" w:color="auto"/>
            <w:right w:val="none" w:sz="0" w:space="0" w:color="auto"/>
          </w:divBdr>
        </w:div>
        <w:div w:id="198591958">
          <w:marLeft w:val="0"/>
          <w:marRight w:val="0"/>
          <w:marTop w:val="0"/>
          <w:marBottom w:val="0"/>
          <w:divBdr>
            <w:top w:val="none" w:sz="0" w:space="0" w:color="auto"/>
            <w:left w:val="none" w:sz="0" w:space="0" w:color="auto"/>
            <w:bottom w:val="none" w:sz="0" w:space="0" w:color="auto"/>
            <w:right w:val="none" w:sz="0" w:space="0" w:color="auto"/>
          </w:divBdr>
        </w:div>
        <w:div w:id="791021710">
          <w:marLeft w:val="0"/>
          <w:marRight w:val="0"/>
          <w:marTop w:val="0"/>
          <w:marBottom w:val="0"/>
          <w:divBdr>
            <w:top w:val="none" w:sz="0" w:space="0" w:color="auto"/>
            <w:left w:val="none" w:sz="0" w:space="0" w:color="auto"/>
            <w:bottom w:val="none" w:sz="0" w:space="0" w:color="auto"/>
            <w:right w:val="none" w:sz="0" w:space="0" w:color="auto"/>
          </w:divBdr>
        </w:div>
        <w:div w:id="713696402">
          <w:marLeft w:val="0"/>
          <w:marRight w:val="0"/>
          <w:marTop w:val="0"/>
          <w:marBottom w:val="0"/>
          <w:divBdr>
            <w:top w:val="none" w:sz="0" w:space="0" w:color="auto"/>
            <w:left w:val="none" w:sz="0" w:space="0" w:color="auto"/>
            <w:bottom w:val="none" w:sz="0" w:space="0" w:color="auto"/>
            <w:right w:val="none" w:sz="0" w:space="0" w:color="auto"/>
          </w:divBdr>
        </w:div>
        <w:div w:id="1998604223">
          <w:marLeft w:val="0"/>
          <w:marRight w:val="0"/>
          <w:marTop w:val="0"/>
          <w:marBottom w:val="0"/>
          <w:divBdr>
            <w:top w:val="none" w:sz="0" w:space="0" w:color="auto"/>
            <w:left w:val="none" w:sz="0" w:space="0" w:color="auto"/>
            <w:bottom w:val="none" w:sz="0" w:space="0" w:color="auto"/>
            <w:right w:val="none" w:sz="0" w:space="0" w:color="auto"/>
          </w:divBdr>
        </w:div>
        <w:div w:id="1860202">
          <w:marLeft w:val="0"/>
          <w:marRight w:val="0"/>
          <w:marTop w:val="0"/>
          <w:marBottom w:val="0"/>
          <w:divBdr>
            <w:top w:val="none" w:sz="0" w:space="0" w:color="auto"/>
            <w:left w:val="none" w:sz="0" w:space="0" w:color="auto"/>
            <w:bottom w:val="none" w:sz="0" w:space="0" w:color="auto"/>
            <w:right w:val="none" w:sz="0" w:space="0" w:color="auto"/>
          </w:divBdr>
        </w:div>
        <w:div w:id="824475511">
          <w:marLeft w:val="0"/>
          <w:marRight w:val="0"/>
          <w:marTop w:val="0"/>
          <w:marBottom w:val="0"/>
          <w:divBdr>
            <w:top w:val="none" w:sz="0" w:space="0" w:color="auto"/>
            <w:left w:val="none" w:sz="0" w:space="0" w:color="auto"/>
            <w:bottom w:val="none" w:sz="0" w:space="0" w:color="auto"/>
            <w:right w:val="none" w:sz="0" w:space="0" w:color="auto"/>
          </w:divBdr>
        </w:div>
        <w:div w:id="555822609">
          <w:marLeft w:val="0"/>
          <w:marRight w:val="0"/>
          <w:marTop w:val="0"/>
          <w:marBottom w:val="0"/>
          <w:divBdr>
            <w:top w:val="none" w:sz="0" w:space="0" w:color="auto"/>
            <w:left w:val="none" w:sz="0" w:space="0" w:color="auto"/>
            <w:bottom w:val="none" w:sz="0" w:space="0" w:color="auto"/>
            <w:right w:val="none" w:sz="0" w:space="0" w:color="auto"/>
          </w:divBdr>
        </w:div>
        <w:div w:id="1299457255">
          <w:marLeft w:val="0"/>
          <w:marRight w:val="0"/>
          <w:marTop w:val="0"/>
          <w:marBottom w:val="0"/>
          <w:divBdr>
            <w:top w:val="none" w:sz="0" w:space="0" w:color="auto"/>
            <w:left w:val="none" w:sz="0" w:space="0" w:color="auto"/>
            <w:bottom w:val="none" w:sz="0" w:space="0" w:color="auto"/>
            <w:right w:val="none" w:sz="0" w:space="0" w:color="auto"/>
          </w:divBdr>
        </w:div>
        <w:div w:id="940837213">
          <w:marLeft w:val="0"/>
          <w:marRight w:val="0"/>
          <w:marTop w:val="0"/>
          <w:marBottom w:val="0"/>
          <w:divBdr>
            <w:top w:val="none" w:sz="0" w:space="0" w:color="auto"/>
            <w:left w:val="none" w:sz="0" w:space="0" w:color="auto"/>
            <w:bottom w:val="none" w:sz="0" w:space="0" w:color="auto"/>
            <w:right w:val="none" w:sz="0" w:space="0" w:color="auto"/>
          </w:divBdr>
        </w:div>
        <w:div w:id="904336175">
          <w:marLeft w:val="0"/>
          <w:marRight w:val="0"/>
          <w:marTop w:val="0"/>
          <w:marBottom w:val="0"/>
          <w:divBdr>
            <w:top w:val="none" w:sz="0" w:space="0" w:color="auto"/>
            <w:left w:val="none" w:sz="0" w:space="0" w:color="auto"/>
            <w:bottom w:val="none" w:sz="0" w:space="0" w:color="auto"/>
            <w:right w:val="none" w:sz="0" w:space="0" w:color="auto"/>
          </w:divBdr>
        </w:div>
      </w:divsChild>
    </w:div>
    <w:div w:id="21443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hsc.state.tx.us/1115-docs/RHP/Category-3-RHP.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ationaloralhealthconference.com/docs/presentations/2010/Jay%20Anderson%20-%20Improving%20Oral%20Healthcare%20in%20Safety%20Net%20Setti.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A798-272A-4EC7-85BB-DFB1824B2600}">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4.xml><?xml version="1.0" encoding="utf-8"?>
<ds:datastoreItem xmlns:ds="http://schemas.openxmlformats.org/officeDocument/2006/customXml" ds:itemID="{47B6D6BB-B2A5-4E27-8548-0564B3A6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2014-03-08T04:48:00Z</dcterms:created>
  <dcterms:modified xsi:type="dcterms:W3CDTF">2014-03-08T04:48:00Z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