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33EF" w14:textId="77777777" w:rsidR="00AD706B" w:rsidRDefault="00AD706B" w:rsidP="00AD706B">
      <w:pPr>
        <w:pStyle w:val="Heading1"/>
      </w:pPr>
      <w:r>
        <w:t>IT-</w:t>
      </w:r>
      <w:r w:rsidR="00A95BD0">
        <w:t>7.21</w:t>
      </w:r>
      <w:r>
        <w:t xml:space="preserve">:  </w:t>
      </w:r>
      <w:r w:rsidR="00A95BD0">
        <w:t>Annual Dental Visit</w:t>
      </w:r>
    </w:p>
    <w:tbl>
      <w:tblPr>
        <w:tblStyle w:val="TableGrid"/>
        <w:tblW w:w="0" w:type="auto"/>
        <w:tblLayout w:type="fixed"/>
        <w:tblLook w:val="04A0" w:firstRow="1" w:lastRow="0" w:firstColumn="1" w:lastColumn="0" w:noHBand="0" w:noVBand="1"/>
      </w:tblPr>
      <w:tblGrid>
        <w:gridCol w:w="1998"/>
        <w:gridCol w:w="2294"/>
        <w:gridCol w:w="2642"/>
        <w:gridCol w:w="2642"/>
      </w:tblGrid>
      <w:tr w:rsidR="00AD706B" w14:paraId="655933F2" w14:textId="77777777" w:rsidTr="00AE6769">
        <w:trPr>
          <w:tblHeader/>
        </w:trPr>
        <w:tc>
          <w:tcPr>
            <w:tcW w:w="1998" w:type="dxa"/>
            <w:shd w:val="clear" w:color="auto" w:fill="F2F2F2" w:themeFill="background1" w:themeFillShade="F2"/>
          </w:tcPr>
          <w:p w14:paraId="655933F0" w14:textId="77777777" w:rsidR="00AD706B" w:rsidRPr="00717546" w:rsidRDefault="00AD706B" w:rsidP="00A374B8">
            <w:pPr>
              <w:pStyle w:val="NoSpacing"/>
              <w:rPr>
                <w:b/>
              </w:rPr>
            </w:pPr>
            <w:r w:rsidRPr="00717546">
              <w:rPr>
                <w:b/>
              </w:rPr>
              <w:t>Measure Title</w:t>
            </w:r>
          </w:p>
        </w:tc>
        <w:tc>
          <w:tcPr>
            <w:tcW w:w="7578" w:type="dxa"/>
            <w:gridSpan w:val="3"/>
            <w:shd w:val="clear" w:color="auto" w:fill="F2F2F2" w:themeFill="background1" w:themeFillShade="F2"/>
          </w:tcPr>
          <w:p w14:paraId="655933F1" w14:textId="77777777" w:rsidR="00AD706B" w:rsidRPr="008779F5" w:rsidRDefault="00A95BD0" w:rsidP="00B05CBF">
            <w:pPr>
              <w:pStyle w:val="NoSpacing"/>
              <w:rPr>
                <w:b/>
              </w:rPr>
            </w:pPr>
            <w:r>
              <w:t>Annual Dental Visit</w:t>
            </w:r>
          </w:p>
        </w:tc>
      </w:tr>
      <w:tr w:rsidR="00AD706B" w14:paraId="655933F5" w14:textId="77777777" w:rsidTr="00AE6769">
        <w:tc>
          <w:tcPr>
            <w:tcW w:w="1998" w:type="dxa"/>
          </w:tcPr>
          <w:p w14:paraId="655933F3" w14:textId="77777777" w:rsidR="00AD706B" w:rsidRPr="00717546" w:rsidRDefault="00AD706B" w:rsidP="00A374B8">
            <w:pPr>
              <w:pStyle w:val="NoSpacing"/>
              <w:rPr>
                <w:b/>
              </w:rPr>
            </w:pPr>
            <w:r w:rsidRPr="00717546">
              <w:rPr>
                <w:b/>
              </w:rPr>
              <w:t>Description</w:t>
            </w:r>
          </w:p>
        </w:tc>
        <w:tc>
          <w:tcPr>
            <w:tcW w:w="7578" w:type="dxa"/>
            <w:gridSpan w:val="3"/>
          </w:tcPr>
          <w:p w14:paraId="2CA69C2F" w14:textId="4AA5695A" w:rsidR="00E658AE" w:rsidRDefault="00E658AE" w:rsidP="00B05CBF">
            <w:pPr>
              <w:pStyle w:val="NoSpacing"/>
            </w:pPr>
            <w:r w:rsidRPr="00E658AE">
              <w:t xml:space="preserve">This measure is used to assess the percentage of </w:t>
            </w:r>
            <w:r>
              <w:t>patients</w:t>
            </w:r>
            <w:r w:rsidRPr="00E658AE">
              <w:t xml:space="preserve"> 2 to 21 years of age who had at least one dental visit during the measurement year.</w:t>
            </w:r>
          </w:p>
          <w:p w14:paraId="655933F4" w14:textId="17EE5103" w:rsidR="00E658AE" w:rsidRDefault="00E658AE" w:rsidP="00B05CBF">
            <w:pPr>
              <w:pStyle w:val="NoSpacing"/>
            </w:pPr>
          </w:p>
        </w:tc>
      </w:tr>
      <w:tr w:rsidR="00AD706B" w14:paraId="655933F8" w14:textId="77777777" w:rsidTr="00AE6769">
        <w:tc>
          <w:tcPr>
            <w:tcW w:w="1998" w:type="dxa"/>
          </w:tcPr>
          <w:p w14:paraId="655933F6" w14:textId="77777777" w:rsidR="00AD706B" w:rsidRPr="00717546" w:rsidRDefault="00AD706B" w:rsidP="00A374B8">
            <w:pPr>
              <w:pStyle w:val="NoSpacing"/>
              <w:rPr>
                <w:b/>
              </w:rPr>
            </w:pPr>
            <w:r w:rsidRPr="00717546">
              <w:rPr>
                <w:b/>
              </w:rPr>
              <w:t>NQF Number</w:t>
            </w:r>
          </w:p>
        </w:tc>
        <w:tc>
          <w:tcPr>
            <w:tcW w:w="7578" w:type="dxa"/>
            <w:gridSpan w:val="3"/>
          </w:tcPr>
          <w:p w14:paraId="655933F7" w14:textId="40826CC0" w:rsidR="00AD706B" w:rsidRDefault="00E658AE" w:rsidP="00A95BD0">
            <w:pPr>
              <w:pStyle w:val="NoSpacing"/>
            </w:pPr>
            <w:r>
              <w:t>1388</w:t>
            </w:r>
          </w:p>
        </w:tc>
      </w:tr>
      <w:tr w:rsidR="00AD706B" w14:paraId="655933FB" w14:textId="77777777" w:rsidTr="00AE6769">
        <w:tc>
          <w:tcPr>
            <w:tcW w:w="1998" w:type="dxa"/>
          </w:tcPr>
          <w:p w14:paraId="655933F9" w14:textId="77777777" w:rsidR="00AD706B" w:rsidRPr="00717546" w:rsidRDefault="00AD706B" w:rsidP="00A374B8">
            <w:pPr>
              <w:pStyle w:val="NoSpacing"/>
              <w:rPr>
                <w:b/>
              </w:rPr>
            </w:pPr>
            <w:r>
              <w:rPr>
                <w:b/>
              </w:rPr>
              <w:t>Measure Steward</w:t>
            </w:r>
          </w:p>
        </w:tc>
        <w:tc>
          <w:tcPr>
            <w:tcW w:w="7578" w:type="dxa"/>
            <w:gridSpan w:val="3"/>
          </w:tcPr>
          <w:p w14:paraId="655933FA" w14:textId="77777777" w:rsidR="00AD706B" w:rsidRPr="00631E85" w:rsidRDefault="00A95BD0" w:rsidP="00A95BD0">
            <w:pPr>
              <w:pStyle w:val="NoSpacing"/>
            </w:pPr>
            <w:r w:rsidRPr="00A95BD0">
              <w:t>N</w:t>
            </w:r>
            <w:r>
              <w:t>ational Committee on Quality Assurance (</w:t>
            </w:r>
            <w:r w:rsidRPr="00A95BD0">
              <w:t>HEDIS</w:t>
            </w:r>
            <w:r>
              <w:t>)</w:t>
            </w:r>
          </w:p>
        </w:tc>
      </w:tr>
      <w:tr w:rsidR="00AD706B" w14:paraId="655933FF" w14:textId="77777777" w:rsidTr="00AE6769">
        <w:tc>
          <w:tcPr>
            <w:tcW w:w="1998" w:type="dxa"/>
          </w:tcPr>
          <w:p w14:paraId="655933FC" w14:textId="77777777" w:rsidR="00AD706B" w:rsidRDefault="00AD706B" w:rsidP="00A374B8">
            <w:pPr>
              <w:pStyle w:val="NoSpacing"/>
              <w:rPr>
                <w:b/>
              </w:rPr>
            </w:pPr>
            <w:r>
              <w:rPr>
                <w:b/>
              </w:rPr>
              <w:t>Link to measure citation</w:t>
            </w:r>
          </w:p>
        </w:tc>
        <w:tc>
          <w:tcPr>
            <w:tcW w:w="7578" w:type="dxa"/>
            <w:gridSpan w:val="3"/>
          </w:tcPr>
          <w:p w14:paraId="655933FD" w14:textId="77777777" w:rsidR="00A95BD0" w:rsidRDefault="000D6A1E" w:rsidP="00A95BD0">
            <w:pPr>
              <w:pStyle w:val="NoSpacing"/>
            </w:pPr>
            <w:hyperlink r:id="rId12" w:history="1">
              <w:r w:rsidR="00A95BD0" w:rsidRPr="00490DF3">
                <w:rPr>
                  <w:rStyle w:val="Hyperlink"/>
                </w:rPr>
                <w:t>https://www.qualityforum.org/QPS/1388</w:t>
              </w:r>
            </w:hyperlink>
          </w:p>
          <w:p w14:paraId="655933FE" w14:textId="77777777" w:rsidR="00AE6769" w:rsidRPr="00631E85" w:rsidRDefault="000D6A1E" w:rsidP="00AE6769">
            <w:pPr>
              <w:pStyle w:val="NoSpacing"/>
            </w:pPr>
            <w:hyperlink r:id="rId13" w:history="1">
              <w:r w:rsidR="00AE6769" w:rsidRPr="00490DF3">
                <w:rPr>
                  <w:rStyle w:val="Hyperlink"/>
                </w:rPr>
                <w:t>http://www.qualitymeasures.ahrq.gov/content.aspx?id=38920&amp;search=annual+dental+visit</w:t>
              </w:r>
            </w:hyperlink>
          </w:p>
        </w:tc>
      </w:tr>
      <w:tr w:rsidR="00AD706B" w14:paraId="65593402" w14:textId="77777777" w:rsidTr="00AE6769">
        <w:tc>
          <w:tcPr>
            <w:tcW w:w="1998" w:type="dxa"/>
          </w:tcPr>
          <w:p w14:paraId="65593400" w14:textId="77777777" w:rsidR="00AD706B" w:rsidRDefault="00AD706B" w:rsidP="00A374B8">
            <w:pPr>
              <w:pStyle w:val="NoSpacing"/>
              <w:rPr>
                <w:b/>
              </w:rPr>
            </w:pPr>
            <w:r>
              <w:rPr>
                <w:b/>
              </w:rPr>
              <w:t>Measure type</w:t>
            </w:r>
          </w:p>
        </w:tc>
        <w:tc>
          <w:tcPr>
            <w:tcW w:w="7578" w:type="dxa"/>
            <w:gridSpan w:val="3"/>
          </w:tcPr>
          <w:p w14:paraId="65593401" w14:textId="77777777" w:rsidR="00AD706B" w:rsidRDefault="00165D76" w:rsidP="00A95BD0">
            <w:pPr>
              <w:pStyle w:val="NoSpacing"/>
            </w:pPr>
            <w:r>
              <w:t>Non Stand-A</w:t>
            </w:r>
            <w:r w:rsidR="00AD706B">
              <w:t>lone</w:t>
            </w:r>
            <w:r>
              <w:t xml:space="preserve"> (NSA)</w:t>
            </w:r>
          </w:p>
        </w:tc>
      </w:tr>
      <w:tr w:rsidR="00AD706B" w14:paraId="65593405" w14:textId="77777777" w:rsidTr="00AE6769">
        <w:tc>
          <w:tcPr>
            <w:tcW w:w="1998" w:type="dxa"/>
          </w:tcPr>
          <w:p w14:paraId="65593403" w14:textId="77777777" w:rsidR="00AD706B" w:rsidRDefault="00AD706B" w:rsidP="00A374B8">
            <w:pPr>
              <w:pStyle w:val="NoSpacing"/>
              <w:rPr>
                <w:b/>
              </w:rPr>
            </w:pPr>
            <w:r>
              <w:rPr>
                <w:b/>
              </w:rPr>
              <w:t>Measure status</w:t>
            </w:r>
          </w:p>
        </w:tc>
        <w:tc>
          <w:tcPr>
            <w:tcW w:w="7578" w:type="dxa"/>
            <w:gridSpan w:val="3"/>
          </w:tcPr>
          <w:p w14:paraId="65593404" w14:textId="4175EA67" w:rsidR="00AD706B" w:rsidRDefault="00A95BD0" w:rsidP="00DE5B9A">
            <w:pPr>
              <w:pStyle w:val="NoSpacing"/>
            </w:pPr>
            <w:r>
              <w:t>P4P</w:t>
            </w:r>
            <w:r w:rsidR="00967948">
              <w:t xml:space="preserve"> </w:t>
            </w:r>
          </w:p>
        </w:tc>
      </w:tr>
      <w:tr w:rsidR="00AD706B" w14:paraId="6559340A" w14:textId="77777777" w:rsidTr="00AE6769">
        <w:tc>
          <w:tcPr>
            <w:tcW w:w="1998" w:type="dxa"/>
          </w:tcPr>
          <w:p w14:paraId="65593406" w14:textId="77777777" w:rsidR="00AD706B" w:rsidRPr="00717546" w:rsidRDefault="00AD706B" w:rsidP="00A374B8">
            <w:pPr>
              <w:pStyle w:val="NoSpacing"/>
              <w:rPr>
                <w:b/>
              </w:rPr>
            </w:pPr>
            <w:r>
              <w:rPr>
                <w:b/>
              </w:rPr>
              <w:t>DSRIP-specific modifications to Measure Steward’s specification</w:t>
            </w:r>
          </w:p>
        </w:tc>
        <w:tc>
          <w:tcPr>
            <w:tcW w:w="7578" w:type="dxa"/>
            <w:gridSpan w:val="3"/>
          </w:tcPr>
          <w:p w14:paraId="65593407" w14:textId="77777777" w:rsidR="00AE6769" w:rsidRDefault="00AE6769" w:rsidP="00AE6769">
            <w:pPr>
              <w:pStyle w:val="NoSpacing"/>
            </w:pPr>
            <w:r w:rsidRPr="00787D45">
              <w:t>The</w:t>
            </w:r>
            <w:r>
              <w:t xml:space="preserve"> Measure Steward’s specification has been modified as follows:</w:t>
            </w:r>
          </w:p>
          <w:p w14:paraId="341D868F" w14:textId="716EDD71" w:rsidR="00E658AE" w:rsidRDefault="00E658AE" w:rsidP="008A3EB5">
            <w:pPr>
              <w:pStyle w:val="NoSpacing"/>
              <w:numPr>
                <w:ilvl w:val="0"/>
                <w:numId w:val="10"/>
              </w:numPr>
            </w:pPr>
            <w:r>
              <w:t>Replaced “member” with “patient”</w:t>
            </w:r>
          </w:p>
          <w:p w14:paraId="5EDB870C" w14:textId="26555EAB" w:rsidR="00E658AE" w:rsidRDefault="00E658AE" w:rsidP="008A3EB5">
            <w:pPr>
              <w:pStyle w:val="NoSpacing"/>
              <w:numPr>
                <w:ilvl w:val="0"/>
                <w:numId w:val="10"/>
              </w:numPr>
            </w:pPr>
            <w:r>
              <w:t>Replaced enrollment requirement with requirement for at least one outpatient visit in prior 12 months</w:t>
            </w:r>
          </w:p>
          <w:p w14:paraId="65593409" w14:textId="69A2E293" w:rsidR="00E658AE" w:rsidRDefault="00E658AE" w:rsidP="008A3EB5">
            <w:pPr>
              <w:pStyle w:val="NoSpacing"/>
              <w:numPr>
                <w:ilvl w:val="0"/>
                <w:numId w:val="10"/>
              </w:numPr>
            </w:pPr>
            <w:r>
              <w:t>Removed reference to calendar year</w:t>
            </w:r>
          </w:p>
        </w:tc>
      </w:tr>
      <w:tr w:rsidR="00AD706B" w14:paraId="6559340D" w14:textId="77777777" w:rsidTr="00AE6769">
        <w:tc>
          <w:tcPr>
            <w:tcW w:w="1998" w:type="dxa"/>
          </w:tcPr>
          <w:p w14:paraId="6559340B"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578" w:type="dxa"/>
            <w:gridSpan w:val="3"/>
          </w:tcPr>
          <w:p w14:paraId="6559340C" w14:textId="63AE44BD" w:rsidR="00AD706B" w:rsidRPr="009F7E66" w:rsidRDefault="00A95BD0" w:rsidP="00E658AE">
            <w:pPr>
              <w:pStyle w:val="NoSpacing"/>
            </w:pPr>
            <w:r>
              <w:t>Patients 2–21 years of age as of the end of the measurement year</w:t>
            </w:r>
            <w:r w:rsidR="00E658AE">
              <w:t>.</w:t>
            </w:r>
            <w:r>
              <w:t xml:space="preserve"> Report six age stratifications and a total rate: 2-3 years, 4-6 years, 7-10 years, 11-14 years, 15-18 years, 19-21 years, and Total.</w:t>
            </w:r>
          </w:p>
        </w:tc>
      </w:tr>
      <w:tr w:rsidR="00787D45" w14:paraId="65593416" w14:textId="77777777" w:rsidTr="00AE6769">
        <w:trPr>
          <w:trHeight w:val="728"/>
        </w:trPr>
        <w:tc>
          <w:tcPr>
            <w:tcW w:w="1998" w:type="dxa"/>
          </w:tcPr>
          <w:p w14:paraId="6559340E" w14:textId="77777777" w:rsidR="00787D45" w:rsidRPr="00717546" w:rsidRDefault="00787D45" w:rsidP="00C01E6F">
            <w:pPr>
              <w:pStyle w:val="NoSpacing"/>
              <w:rPr>
                <w:b/>
              </w:rPr>
            </w:pPr>
            <w:r>
              <w:rPr>
                <w:b/>
              </w:rPr>
              <w:t>Denominator Inclusions</w:t>
            </w:r>
          </w:p>
        </w:tc>
        <w:tc>
          <w:tcPr>
            <w:tcW w:w="7578" w:type="dxa"/>
            <w:gridSpan w:val="3"/>
          </w:tcPr>
          <w:p w14:paraId="6559340F" w14:textId="3D8D6135" w:rsidR="00A95BD0" w:rsidRDefault="00E658AE" w:rsidP="00A95BD0">
            <w:pPr>
              <w:pStyle w:val="NoSpacing"/>
            </w:pPr>
            <w:r>
              <w:t>Patients</w:t>
            </w:r>
            <w:r w:rsidR="00A95BD0">
              <w:t>* 2 to 21 years of age as of December 31 of the measurement year</w:t>
            </w:r>
          </w:p>
          <w:p w14:paraId="65593410" w14:textId="77777777" w:rsidR="00A95BD0" w:rsidRDefault="00A95BD0" w:rsidP="00A95BD0">
            <w:pPr>
              <w:pStyle w:val="NoSpacing"/>
            </w:pPr>
          </w:p>
          <w:p w14:paraId="65593411" w14:textId="77777777" w:rsidR="00A95BD0" w:rsidRDefault="00A95BD0" w:rsidP="00A95BD0">
            <w:pPr>
              <w:pStyle w:val="NoSpacing"/>
            </w:pPr>
            <w:r>
              <w:t>Note: Visits for many 1-year-olds will be counted because the specification includes children whose second birthday occurs during the measurement year.</w:t>
            </w:r>
          </w:p>
          <w:p w14:paraId="65593412" w14:textId="77777777" w:rsidR="00A95BD0" w:rsidRDefault="00A95BD0" w:rsidP="00A95BD0">
            <w:pPr>
              <w:pStyle w:val="NoSpacing"/>
            </w:pPr>
          </w:p>
          <w:p w14:paraId="65593415" w14:textId="63189A53" w:rsidR="00787D45" w:rsidRPr="0012650D" w:rsidRDefault="00A95BD0" w:rsidP="00E658AE">
            <w:pPr>
              <w:pStyle w:val="NoSpacing"/>
              <w:rPr>
                <w:b/>
              </w:rPr>
            </w:pPr>
            <w:r>
              <w:t>*</w:t>
            </w:r>
            <w:r w:rsidR="00E658AE">
              <w:t xml:space="preserve">Patients must have </w:t>
            </w:r>
            <w:r w:rsidR="00E658AE" w:rsidRPr="00E658AE">
              <w:t>had at least one (1) outpatient encounter in the prior 12-month period</w:t>
            </w:r>
            <w:r w:rsidR="00E658AE">
              <w:t xml:space="preserve">. </w:t>
            </w:r>
          </w:p>
        </w:tc>
      </w:tr>
      <w:tr w:rsidR="00787D45" w14:paraId="65593419" w14:textId="77777777" w:rsidTr="00AE6769">
        <w:trPr>
          <w:trHeight w:val="710"/>
        </w:trPr>
        <w:tc>
          <w:tcPr>
            <w:tcW w:w="1998" w:type="dxa"/>
          </w:tcPr>
          <w:p w14:paraId="65593417" w14:textId="77777777" w:rsidR="00787D45" w:rsidRPr="00717546" w:rsidRDefault="00787D45" w:rsidP="00C01E6F">
            <w:pPr>
              <w:pStyle w:val="NoSpacing"/>
              <w:rPr>
                <w:b/>
              </w:rPr>
            </w:pPr>
            <w:r>
              <w:rPr>
                <w:b/>
              </w:rPr>
              <w:t>Denominator Exclusions</w:t>
            </w:r>
          </w:p>
        </w:tc>
        <w:tc>
          <w:tcPr>
            <w:tcW w:w="7578" w:type="dxa"/>
            <w:gridSpan w:val="3"/>
          </w:tcPr>
          <w:p w14:paraId="65593418" w14:textId="77777777" w:rsidR="00787D45" w:rsidRPr="001D6BEA" w:rsidRDefault="00AE6769" w:rsidP="002F15E3">
            <w:pPr>
              <w:pStyle w:val="NoSpacing"/>
            </w:pPr>
            <w:r>
              <w:t>Unspecified</w:t>
            </w:r>
          </w:p>
        </w:tc>
      </w:tr>
      <w:tr w:rsidR="00D63CD3" w14:paraId="6559341F" w14:textId="77777777" w:rsidTr="00AE6769">
        <w:tc>
          <w:tcPr>
            <w:tcW w:w="1998" w:type="dxa"/>
          </w:tcPr>
          <w:p w14:paraId="6559341A" w14:textId="77777777" w:rsidR="00D63CD3" w:rsidRDefault="00D63CD3" w:rsidP="00AF103E">
            <w:pPr>
              <w:pStyle w:val="NoSpacing"/>
              <w:rPr>
                <w:b/>
              </w:rPr>
            </w:pPr>
            <w:r>
              <w:rPr>
                <w:b/>
              </w:rPr>
              <w:t>Denominator Size</w:t>
            </w:r>
          </w:p>
        </w:tc>
        <w:tc>
          <w:tcPr>
            <w:tcW w:w="7578" w:type="dxa"/>
            <w:gridSpan w:val="3"/>
          </w:tcPr>
          <w:p w14:paraId="6559341B"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6559341C"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6559341D"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6559341E"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65593422" w14:textId="77777777" w:rsidTr="00AE6769">
        <w:tc>
          <w:tcPr>
            <w:tcW w:w="1998" w:type="dxa"/>
          </w:tcPr>
          <w:p w14:paraId="65593420" w14:textId="77777777" w:rsidR="00AC3A97" w:rsidRPr="00717546" w:rsidRDefault="00AC3A97" w:rsidP="00AF103E">
            <w:pPr>
              <w:pStyle w:val="NoSpacing"/>
              <w:rPr>
                <w:b/>
              </w:rPr>
            </w:pPr>
            <w:r>
              <w:rPr>
                <w:b/>
              </w:rPr>
              <w:lastRenderedPageBreak/>
              <w:t xml:space="preserve">Numerator Description </w:t>
            </w:r>
          </w:p>
        </w:tc>
        <w:tc>
          <w:tcPr>
            <w:tcW w:w="7578" w:type="dxa"/>
            <w:gridSpan w:val="3"/>
          </w:tcPr>
          <w:p w14:paraId="65593421" w14:textId="77777777" w:rsidR="00AC3A97" w:rsidRPr="009F7E66" w:rsidRDefault="00A95BD0" w:rsidP="00AF103E">
            <w:pPr>
              <w:pStyle w:val="NoSpacing"/>
            </w:pPr>
            <w:r>
              <w:t>Patients who had one or more dental visits with a dental practitioner during the measurement year.</w:t>
            </w:r>
          </w:p>
        </w:tc>
      </w:tr>
      <w:tr w:rsidR="00787D45" w14:paraId="65593425" w14:textId="77777777" w:rsidTr="00AE6769">
        <w:tc>
          <w:tcPr>
            <w:tcW w:w="1998" w:type="dxa"/>
          </w:tcPr>
          <w:p w14:paraId="65593423" w14:textId="77777777" w:rsidR="00787D45" w:rsidRPr="00717546" w:rsidRDefault="00787D45" w:rsidP="00AF103E">
            <w:pPr>
              <w:pStyle w:val="NoSpacing"/>
              <w:rPr>
                <w:b/>
              </w:rPr>
            </w:pPr>
            <w:r>
              <w:rPr>
                <w:b/>
              </w:rPr>
              <w:t>Numerator Inclusions</w:t>
            </w:r>
          </w:p>
        </w:tc>
        <w:tc>
          <w:tcPr>
            <w:tcW w:w="7578" w:type="dxa"/>
            <w:gridSpan w:val="3"/>
          </w:tcPr>
          <w:p w14:paraId="65593424" w14:textId="7A67A8B0" w:rsidR="00787D45" w:rsidRPr="0012650D" w:rsidRDefault="00E658AE" w:rsidP="00E658AE">
            <w:pPr>
              <w:pStyle w:val="NoSpacing"/>
              <w:rPr>
                <w:b/>
              </w:rPr>
            </w:pPr>
            <w:r>
              <w:t>Patients</w:t>
            </w:r>
            <w:r w:rsidR="00AE6769">
              <w:t xml:space="preserve"> who had one or more </w:t>
            </w:r>
            <w:r w:rsidR="00AE6769">
              <w:rPr>
                <w:rStyle w:val="fthighlight"/>
              </w:rPr>
              <w:t>dental</w:t>
            </w:r>
            <w:r w:rsidR="00AE6769">
              <w:t xml:space="preserve"> </w:t>
            </w:r>
            <w:r w:rsidR="00AE6769">
              <w:rPr>
                <w:rStyle w:val="fthighlight"/>
              </w:rPr>
              <w:t>visit</w:t>
            </w:r>
            <w:r w:rsidR="00AE6769">
              <w:t xml:space="preserve">s with a </w:t>
            </w:r>
            <w:r w:rsidR="00AE6769">
              <w:rPr>
                <w:rStyle w:val="fthighlight"/>
              </w:rPr>
              <w:t>dental</w:t>
            </w:r>
            <w:r w:rsidR="00AE6769">
              <w:t xml:space="preserve"> practitioner during the measurement year. A </w:t>
            </w:r>
            <w:r>
              <w:t>patient</w:t>
            </w:r>
            <w:r w:rsidR="00AE6769">
              <w:t xml:space="preserve"> had a </w:t>
            </w:r>
            <w:r w:rsidR="00AE6769">
              <w:rPr>
                <w:rStyle w:val="fthighlight"/>
              </w:rPr>
              <w:t>dental</w:t>
            </w:r>
            <w:r w:rsidR="00AE6769">
              <w:t xml:space="preserve"> </w:t>
            </w:r>
            <w:r w:rsidR="00AE6769">
              <w:rPr>
                <w:rStyle w:val="fthighlight"/>
              </w:rPr>
              <w:t>visit</w:t>
            </w:r>
            <w:r w:rsidR="00AE6769">
              <w:t xml:space="preserve"> if a submitted claim/encounter contains any code in Table ADV-A of the original measure documentation.</w:t>
            </w:r>
          </w:p>
        </w:tc>
      </w:tr>
      <w:tr w:rsidR="00787D45" w14:paraId="65593428" w14:textId="77777777" w:rsidTr="00AE6769">
        <w:tc>
          <w:tcPr>
            <w:tcW w:w="1998" w:type="dxa"/>
          </w:tcPr>
          <w:p w14:paraId="65593426" w14:textId="77777777" w:rsidR="00787D45" w:rsidRPr="00717546" w:rsidRDefault="00787D45" w:rsidP="00AF103E">
            <w:pPr>
              <w:pStyle w:val="NoSpacing"/>
              <w:rPr>
                <w:b/>
              </w:rPr>
            </w:pPr>
            <w:r>
              <w:rPr>
                <w:b/>
              </w:rPr>
              <w:t>Numerator Exclusions</w:t>
            </w:r>
          </w:p>
        </w:tc>
        <w:tc>
          <w:tcPr>
            <w:tcW w:w="7578" w:type="dxa"/>
            <w:gridSpan w:val="3"/>
          </w:tcPr>
          <w:p w14:paraId="65593427" w14:textId="77777777" w:rsidR="00787D45" w:rsidRPr="001D6BEA" w:rsidRDefault="00AE6769" w:rsidP="002F15E3">
            <w:pPr>
              <w:pStyle w:val="NoSpacing"/>
            </w:pPr>
            <w:r>
              <w:t>Unspecified</w:t>
            </w:r>
          </w:p>
        </w:tc>
      </w:tr>
      <w:tr w:rsidR="00AD706B" w14:paraId="6559342B" w14:textId="77777777" w:rsidTr="00AE6769">
        <w:tc>
          <w:tcPr>
            <w:tcW w:w="1998" w:type="dxa"/>
          </w:tcPr>
          <w:p w14:paraId="65593429" w14:textId="77777777" w:rsidR="00AD706B" w:rsidRPr="00717546" w:rsidRDefault="00AD706B" w:rsidP="00A374B8">
            <w:pPr>
              <w:pStyle w:val="NoSpacing"/>
              <w:rPr>
                <w:b/>
              </w:rPr>
            </w:pPr>
            <w:r>
              <w:rPr>
                <w:b/>
              </w:rPr>
              <w:t>Setting</w:t>
            </w:r>
          </w:p>
        </w:tc>
        <w:tc>
          <w:tcPr>
            <w:tcW w:w="7578" w:type="dxa"/>
            <w:gridSpan w:val="3"/>
          </w:tcPr>
          <w:p w14:paraId="6559342A" w14:textId="77777777" w:rsidR="00AD706B" w:rsidRDefault="00AD706B" w:rsidP="00A95BD0">
            <w:pPr>
              <w:pStyle w:val="NoSpacing"/>
            </w:pPr>
            <w:r>
              <w:t>Ambulatory</w:t>
            </w:r>
          </w:p>
        </w:tc>
      </w:tr>
      <w:tr w:rsidR="00AD706B" w14:paraId="6559342E" w14:textId="77777777" w:rsidTr="00AE6769">
        <w:tc>
          <w:tcPr>
            <w:tcW w:w="1998" w:type="dxa"/>
          </w:tcPr>
          <w:p w14:paraId="6559342C" w14:textId="77777777" w:rsidR="00AD706B" w:rsidRDefault="00AD706B" w:rsidP="00A374B8">
            <w:pPr>
              <w:pStyle w:val="NoSpacing"/>
              <w:rPr>
                <w:b/>
              </w:rPr>
            </w:pPr>
            <w:r>
              <w:rPr>
                <w:b/>
              </w:rPr>
              <w:t>Data Source</w:t>
            </w:r>
          </w:p>
        </w:tc>
        <w:tc>
          <w:tcPr>
            <w:tcW w:w="7578" w:type="dxa"/>
            <w:gridSpan w:val="3"/>
          </w:tcPr>
          <w:p w14:paraId="6559342D" w14:textId="77777777" w:rsidR="00AD706B" w:rsidRDefault="00AF3A3D" w:rsidP="00AF3A3D">
            <w:pPr>
              <w:pStyle w:val="NoSpacing"/>
            </w:pPr>
            <w:r>
              <w:t>Administ</w:t>
            </w:r>
            <w:r w:rsidR="00A95BD0">
              <w:t>rative/Clinical data sources</w:t>
            </w:r>
          </w:p>
        </w:tc>
      </w:tr>
      <w:tr w:rsidR="00AD706B" w14:paraId="6559344D" w14:textId="77777777" w:rsidTr="00AE6769">
        <w:tc>
          <w:tcPr>
            <w:tcW w:w="1998" w:type="dxa"/>
          </w:tcPr>
          <w:p w14:paraId="6559342F"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578" w:type="dxa"/>
            <w:gridSpan w:val="3"/>
          </w:tcPr>
          <w:p w14:paraId="65593430"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65593431" w14:textId="77777777" w:rsidR="00561D6D" w:rsidRDefault="00561D6D" w:rsidP="00A374B8">
            <w:pPr>
              <w:pStyle w:val="NoSpacing"/>
            </w:pPr>
          </w:p>
          <w:p w14:paraId="65593432"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65593433" w14:textId="77777777" w:rsidR="007F7C07" w:rsidRDefault="00416E44" w:rsidP="007F7C07">
            <w:pPr>
              <w:pStyle w:val="NoSpacing"/>
              <w:numPr>
                <w:ilvl w:val="0"/>
                <w:numId w:val="5"/>
              </w:numPr>
            </w:pPr>
            <w:r>
              <w:t>Medicaid</w:t>
            </w:r>
          </w:p>
          <w:p w14:paraId="65593434" w14:textId="77777777" w:rsidR="007F7C07" w:rsidRDefault="007F7C07" w:rsidP="007F7C07">
            <w:pPr>
              <w:pStyle w:val="NoSpacing"/>
              <w:numPr>
                <w:ilvl w:val="0"/>
                <w:numId w:val="5"/>
              </w:numPr>
            </w:pPr>
            <w:r>
              <w:t>Uninsured</w:t>
            </w:r>
            <w:r w:rsidR="00366D0B">
              <w:t>/Indigent</w:t>
            </w:r>
          </w:p>
          <w:p w14:paraId="65593435" w14:textId="77777777" w:rsidR="00366D0B" w:rsidRDefault="00366D0B" w:rsidP="007F7C07">
            <w:pPr>
              <w:pStyle w:val="NoSpacing"/>
              <w:numPr>
                <w:ilvl w:val="0"/>
                <w:numId w:val="5"/>
              </w:numPr>
            </w:pPr>
            <w:r>
              <w:t>Both: Medicaid and Uninsured/Indigent</w:t>
            </w:r>
          </w:p>
          <w:p w14:paraId="65593436" w14:textId="77777777" w:rsidR="000E7EED" w:rsidRDefault="000E7EED" w:rsidP="00A374B8">
            <w:pPr>
              <w:pStyle w:val="NoSpacing"/>
            </w:pPr>
          </w:p>
          <w:p w14:paraId="65593437"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65593438" w14:textId="77777777" w:rsidR="007F7C07" w:rsidRDefault="007F7C07" w:rsidP="007F7C07">
            <w:pPr>
              <w:pStyle w:val="NoSpacing"/>
              <w:numPr>
                <w:ilvl w:val="0"/>
                <w:numId w:val="6"/>
              </w:numPr>
            </w:pPr>
            <w:r>
              <w:t>Male</w:t>
            </w:r>
          </w:p>
          <w:p w14:paraId="65593439" w14:textId="77777777" w:rsidR="007F7C07" w:rsidRDefault="007F7C07" w:rsidP="007F7C07">
            <w:pPr>
              <w:pStyle w:val="NoSpacing"/>
              <w:numPr>
                <w:ilvl w:val="0"/>
                <w:numId w:val="6"/>
              </w:numPr>
            </w:pPr>
            <w:r>
              <w:t>Female</w:t>
            </w:r>
          </w:p>
          <w:p w14:paraId="6559343A" w14:textId="77777777" w:rsidR="007F7C07" w:rsidRDefault="007F7C07" w:rsidP="00CA4C08">
            <w:pPr>
              <w:pStyle w:val="NoSpacing"/>
            </w:pPr>
          </w:p>
          <w:p w14:paraId="6559343B"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6559343C" w14:textId="77777777" w:rsidR="007F7C07" w:rsidRDefault="007F7C07" w:rsidP="007F7C07">
            <w:pPr>
              <w:pStyle w:val="NoSpacing"/>
              <w:numPr>
                <w:ilvl w:val="0"/>
                <w:numId w:val="7"/>
              </w:numPr>
            </w:pPr>
            <w:r>
              <w:t>White/Caucasian</w:t>
            </w:r>
          </w:p>
          <w:p w14:paraId="6559343D" w14:textId="77777777" w:rsidR="007F7C07" w:rsidRDefault="007F7C07" w:rsidP="007F7C07">
            <w:pPr>
              <w:pStyle w:val="NoSpacing"/>
              <w:numPr>
                <w:ilvl w:val="0"/>
                <w:numId w:val="7"/>
              </w:numPr>
            </w:pPr>
            <w:r>
              <w:t>Black/African American</w:t>
            </w:r>
          </w:p>
          <w:p w14:paraId="6559343E" w14:textId="77777777" w:rsidR="007F7C07" w:rsidRDefault="007F7C07" w:rsidP="007F7C07">
            <w:pPr>
              <w:pStyle w:val="NoSpacing"/>
              <w:numPr>
                <w:ilvl w:val="0"/>
                <w:numId w:val="7"/>
              </w:numPr>
            </w:pPr>
            <w:r>
              <w:t>Latino/Hispanic</w:t>
            </w:r>
          </w:p>
          <w:p w14:paraId="6559343F" w14:textId="77777777" w:rsidR="007F7C07" w:rsidRDefault="007F7C07" w:rsidP="007F7C07">
            <w:pPr>
              <w:pStyle w:val="NoSpacing"/>
              <w:numPr>
                <w:ilvl w:val="0"/>
                <w:numId w:val="7"/>
              </w:numPr>
            </w:pPr>
            <w:r>
              <w:t>Asian</w:t>
            </w:r>
          </w:p>
          <w:p w14:paraId="65593440" w14:textId="77777777" w:rsidR="007F7C07" w:rsidRDefault="007F7C07" w:rsidP="007F7C07">
            <w:pPr>
              <w:pStyle w:val="NoSpacing"/>
              <w:numPr>
                <w:ilvl w:val="0"/>
                <w:numId w:val="7"/>
              </w:numPr>
            </w:pPr>
            <w:r>
              <w:t>American Indian/Alaskan Native</w:t>
            </w:r>
          </w:p>
          <w:p w14:paraId="65593441" w14:textId="77777777" w:rsidR="007F7C07" w:rsidRDefault="007F7C07" w:rsidP="007F7C07">
            <w:pPr>
              <w:pStyle w:val="NoSpacing"/>
              <w:numPr>
                <w:ilvl w:val="0"/>
                <w:numId w:val="7"/>
              </w:numPr>
            </w:pPr>
            <w:r>
              <w:t>Native Hawaiian/Other Pacific Islander</w:t>
            </w:r>
          </w:p>
          <w:p w14:paraId="65593442" w14:textId="77777777" w:rsidR="007F7C07" w:rsidRDefault="007F7C07" w:rsidP="00CA4C08">
            <w:pPr>
              <w:pStyle w:val="NoSpacing"/>
            </w:pPr>
          </w:p>
          <w:p w14:paraId="65593443" w14:textId="77777777" w:rsidR="007F7C07" w:rsidRDefault="007F7C07" w:rsidP="00CA4C08">
            <w:pPr>
              <w:pStyle w:val="NoSpacing"/>
            </w:pPr>
            <w:r w:rsidRPr="007F7C07">
              <w:rPr>
                <w:b/>
              </w:rPr>
              <w:t>Age:</w:t>
            </w:r>
            <w:r>
              <w:t xml:space="preserve"> Providers may define the denominator population such that it is limited to an age range:</w:t>
            </w:r>
          </w:p>
          <w:p w14:paraId="65593444" w14:textId="77777777" w:rsidR="007F7C07" w:rsidRDefault="007F7C07" w:rsidP="007F7C07">
            <w:pPr>
              <w:pStyle w:val="NoSpacing"/>
              <w:ind w:left="720"/>
            </w:pPr>
            <w:r>
              <w:t>Lower Bound: ____ (Provider defined)</w:t>
            </w:r>
          </w:p>
          <w:p w14:paraId="65593445" w14:textId="77777777" w:rsidR="007F7C07" w:rsidRDefault="007F7C07" w:rsidP="007F7C07">
            <w:pPr>
              <w:pStyle w:val="NoSpacing"/>
              <w:ind w:left="720"/>
            </w:pPr>
            <w:r>
              <w:t>Upper Bound: ____ (Provider defined)</w:t>
            </w:r>
          </w:p>
          <w:p w14:paraId="65593446" w14:textId="77777777" w:rsidR="00CA4C08" w:rsidRDefault="00CA4C08" w:rsidP="00CA4C08">
            <w:pPr>
              <w:pStyle w:val="NoSpacing"/>
            </w:pPr>
          </w:p>
          <w:p w14:paraId="65593447" w14:textId="281A3640" w:rsidR="007F7C07" w:rsidRDefault="007F7C07" w:rsidP="007F7C07">
            <w:pPr>
              <w:pStyle w:val="NoSpacing"/>
            </w:pPr>
            <w:r>
              <w:rPr>
                <w:b/>
              </w:rPr>
              <w:t>Comorbid Condition</w:t>
            </w:r>
            <w:r w:rsidRPr="007F7C07">
              <w:rPr>
                <w:b/>
              </w:rPr>
              <w:t>:</w:t>
            </w:r>
            <w:r>
              <w:t xml:space="preserve"> </w:t>
            </w:r>
            <w:r w:rsidR="00DE5B9A">
              <w:t xml:space="preserve"> </w:t>
            </w:r>
            <w:r w:rsidR="00DE5B9A">
              <w:t>Providers may define the denominator population such that it is limited to individuals with one or more comorbid conditions:</w:t>
            </w:r>
          </w:p>
          <w:p w14:paraId="65593448" w14:textId="77777777" w:rsidR="007F7C07" w:rsidRDefault="007F7C07" w:rsidP="00A82574">
            <w:pPr>
              <w:pStyle w:val="NoSpacing"/>
              <w:ind w:left="720"/>
            </w:pPr>
            <w:r>
              <w:t>Comorbid condition: ______________ (Provider defined)</w:t>
            </w:r>
          </w:p>
          <w:p w14:paraId="65593449" w14:textId="77777777" w:rsidR="007F7C07" w:rsidRDefault="007F7C07" w:rsidP="00CA4C08">
            <w:pPr>
              <w:pStyle w:val="NoSpacing"/>
            </w:pPr>
          </w:p>
          <w:p w14:paraId="6559344A"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6559344B" w14:textId="77777777" w:rsidR="007F7C07" w:rsidRDefault="007F7C07" w:rsidP="00A82574">
            <w:pPr>
              <w:pStyle w:val="NoSpacing"/>
              <w:ind w:left="720"/>
            </w:pPr>
            <w:r>
              <w:lastRenderedPageBreak/>
              <w:t xml:space="preserve">Service Setting/Delivery Location(s): ______________ (Provider defined) </w:t>
            </w:r>
          </w:p>
          <w:p w14:paraId="6559344C" w14:textId="77777777" w:rsidR="00F927B0" w:rsidRDefault="00CA4C08" w:rsidP="007F7C07">
            <w:pPr>
              <w:pStyle w:val="NoSpacing"/>
            </w:pPr>
            <w:r>
              <w:t> </w:t>
            </w:r>
          </w:p>
        </w:tc>
      </w:tr>
      <w:tr w:rsidR="00AD706B" w14:paraId="65593455" w14:textId="77777777" w:rsidTr="00AE6769">
        <w:tc>
          <w:tcPr>
            <w:tcW w:w="1998" w:type="dxa"/>
          </w:tcPr>
          <w:p w14:paraId="6559344E" w14:textId="77777777" w:rsidR="00AD706B" w:rsidRDefault="00AD706B" w:rsidP="00A374B8">
            <w:pPr>
              <w:pStyle w:val="NoSpacing"/>
              <w:rPr>
                <w:b/>
              </w:rPr>
            </w:pPr>
            <w:r>
              <w:rPr>
                <w:b/>
              </w:rPr>
              <w:lastRenderedPageBreak/>
              <w:t>Demonstration Years</w:t>
            </w:r>
          </w:p>
        </w:tc>
        <w:tc>
          <w:tcPr>
            <w:tcW w:w="2294" w:type="dxa"/>
            <w:shd w:val="clear" w:color="auto" w:fill="D9D9D9" w:themeFill="background1" w:themeFillShade="D9"/>
          </w:tcPr>
          <w:p w14:paraId="6559344F" w14:textId="77777777" w:rsidR="00AD706B" w:rsidRPr="0031250D" w:rsidRDefault="00AD706B" w:rsidP="00A374B8">
            <w:pPr>
              <w:pStyle w:val="NoSpacing"/>
              <w:jc w:val="center"/>
              <w:rPr>
                <w:b/>
              </w:rPr>
            </w:pPr>
            <w:r w:rsidRPr="0031250D">
              <w:rPr>
                <w:b/>
              </w:rPr>
              <w:t>DY3</w:t>
            </w:r>
          </w:p>
          <w:p w14:paraId="65593450"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642" w:type="dxa"/>
            <w:shd w:val="clear" w:color="auto" w:fill="D9D9D9" w:themeFill="background1" w:themeFillShade="D9"/>
          </w:tcPr>
          <w:p w14:paraId="65593451" w14:textId="77777777" w:rsidR="00AD706B" w:rsidRPr="0031250D" w:rsidRDefault="00AD706B" w:rsidP="00A374B8">
            <w:pPr>
              <w:pStyle w:val="NoSpacing"/>
              <w:jc w:val="center"/>
              <w:rPr>
                <w:b/>
              </w:rPr>
            </w:pPr>
            <w:r w:rsidRPr="0031250D">
              <w:rPr>
                <w:b/>
              </w:rPr>
              <w:t>DY4</w:t>
            </w:r>
          </w:p>
          <w:p w14:paraId="65593452"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642" w:type="dxa"/>
            <w:shd w:val="clear" w:color="auto" w:fill="D9D9D9" w:themeFill="background1" w:themeFillShade="D9"/>
          </w:tcPr>
          <w:p w14:paraId="65593453" w14:textId="77777777" w:rsidR="00AD706B" w:rsidRPr="0031250D" w:rsidRDefault="00AD706B" w:rsidP="00A374B8">
            <w:pPr>
              <w:pStyle w:val="NoSpacing"/>
              <w:jc w:val="center"/>
              <w:rPr>
                <w:b/>
              </w:rPr>
            </w:pPr>
            <w:r w:rsidRPr="0031250D">
              <w:rPr>
                <w:b/>
              </w:rPr>
              <w:t>DY5</w:t>
            </w:r>
          </w:p>
          <w:p w14:paraId="65593454"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65593467" w14:textId="77777777" w:rsidTr="00AE6769">
        <w:tc>
          <w:tcPr>
            <w:tcW w:w="1998" w:type="dxa"/>
          </w:tcPr>
          <w:p w14:paraId="65593456" w14:textId="77777777" w:rsidR="00AD706B" w:rsidRDefault="00AD706B" w:rsidP="00A374B8">
            <w:pPr>
              <w:pStyle w:val="NoSpacing"/>
              <w:rPr>
                <w:b/>
              </w:rPr>
            </w:pPr>
            <w:r>
              <w:rPr>
                <w:b/>
              </w:rPr>
              <w:t>Measurement Periods</w:t>
            </w:r>
          </w:p>
          <w:p w14:paraId="65593457" w14:textId="77777777" w:rsidR="007C728B" w:rsidRDefault="007C728B" w:rsidP="00A374B8">
            <w:pPr>
              <w:pStyle w:val="NoSpacing"/>
              <w:rPr>
                <w:b/>
              </w:rPr>
            </w:pPr>
          </w:p>
          <w:p w14:paraId="65593458"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94" w:type="dxa"/>
          </w:tcPr>
          <w:p w14:paraId="7ED5CD31" w14:textId="77777777" w:rsidR="00DE5B9A" w:rsidRDefault="00DE5B9A" w:rsidP="00DE5B9A">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6B2DD8CB" w14:textId="77777777" w:rsidR="00DE5B9A" w:rsidRDefault="00DE5B9A" w:rsidP="00DE5B9A">
            <w:pPr>
              <w:pStyle w:val="NoSpacing"/>
            </w:pPr>
            <w:r>
              <w:rPr>
                <w:u w:val="single"/>
              </w:rPr>
              <w:t>12 Month Period</w:t>
            </w:r>
            <w:r>
              <w:t xml:space="preserve">: </w:t>
            </w:r>
          </w:p>
          <w:p w14:paraId="58E2D7A9" w14:textId="77777777" w:rsidR="00DE5B9A" w:rsidRDefault="00DE5B9A" w:rsidP="00DE5B9A">
            <w:pPr>
              <w:pStyle w:val="NoSpacing"/>
              <w:numPr>
                <w:ilvl w:val="0"/>
                <w:numId w:val="11"/>
              </w:numPr>
              <w:ind w:left="504"/>
            </w:pPr>
            <w:r>
              <w:t xml:space="preserve">10/01/13 – 09/30/14, or </w:t>
            </w:r>
          </w:p>
          <w:p w14:paraId="1178483D" w14:textId="77777777" w:rsidR="00DE5B9A" w:rsidRDefault="00DE5B9A" w:rsidP="00DE5B9A">
            <w:pPr>
              <w:pStyle w:val="NoSpacing"/>
              <w:numPr>
                <w:ilvl w:val="0"/>
                <w:numId w:val="11"/>
              </w:numPr>
              <w:ind w:left="504"/>
            </w:pPr>
            <w:r>
              <w:t>09/01/13 – 08/31/14, or</w:t>
            </w:r>
          </w:p>
          <w:p w14:paraId="4E77F778" w14:textId="77777777" w:rsidR="00DE5B9A" w:rsidRDefault="00DE5B9A" w:rsidP="00DE5B9A">
            <w:pPr>
              <w:pStyle w:val="NoSpacing"/>
              <w:numPr>
                <w:ilvl w:val="0"/>
                <w:numId w:val="11"/>
              </w:numPr>
              <w:ind w:left="504"/>
            </w:pPr>
            <w:r>
              <w:t>01/01/13 – 12/31/13, or</w:t>
            </w:r>
          </w:p>
          <w:p w14:paraId="6B5D8FFB" w14:textId="77777777" w:rsidR="00DE5B9A" w:rsidRDefault="00DE5B9A" w:rsidP="00DE5B9A">
            <w:pPr>
              <w:pStyle w:val="NoSpacing"/>
              <w:numPr>
                <w:ilvl w:val="0"/>
                <w:numId w:val="11"/>
              </w:numPr>
              <w:ind w:left="504"/>
            </w:pPr>
            <w:r>
              <w:t>10/01/12 – 09/30/13, or</w:t>
            </w:r>
          </w:p>
          <w:p w14:paraId="7F6984C5" w14:textId="77777777" w:rsidR="00DE5B9A" w:rsidRDefault="00DE5B9A" w:rsidP="00DE5B9A">
            <w:pPr>
              <w:pStyle w:val="NoSpacing"/>
              <w:numPr>
                <w:ilvl w:val="0"/>
                <w:numId w:val="11"/>
              </w:numPr>
              <w:ind w:left="504"/>
            </w:pPr>
            <w:r>
              <w:t>09/01/12 – 08/31/13</w:t>
            </w:r>
          </w:p>
          <w:p w14:paraId="0E176BB0" w14:textId="77777777" w:rsidR="00DE5B9A" w:rsidRDefault="00DE5B9A" w:rsidP="00DE5B9A">
            <w:pPr>
              <w:pStyle w:val="NoSpacing"/>
            </w:pPr>
            <w:r>
              <w:rPr>
                <w:u w:val="single"/>
              </w:rPr>
              <w:t>6 Month Period</w:t>
            </w:r>
            <w:r>
              <w:t xml:space="preserve">: </w:t>
            </w:r>
          </w:p>
          <w:p w14:paraId="338AE4A1" w14:textId="77777777" w:rsidR="00DE5B9A" w:rsidRDefault="00DE5B9A" w:rsidP="00DE5B9A">
            <w:pPr>
              <w:pStyle w:val="NoSpacing"/>
              <w:numPr>
                <w:ilvl w:val="0"/>
                <w:numId w:val="12"/>
              </w:numPr>
              <w:ind w:left="504"/>
            </w:pPr>
            <w:r>
              <w:t>04/01/14 – 09/30/14, or</w:t>
            </w:r>
          </w:p>
          <w:p w14:paraId="7271B5F9" w14:textId="77777777" w:rsidR="00DE5B9A" w:rsidRDefault="00DE5B9A" w:rsidP="00DE5B9A">
            <w:pPr>
              <w:pStyle w:val="NoSpacing"/>
              <w:numPr>
                <w:ilvl w:val="0"/>
                <w:numId w:val="12"/>
              </w:numPr>
              <w:ind w:left="504"/>
            </w:pPr>
            <w:r>
              <w:t>03/01/13 – 08/31/14, or</w:t>
            </w:r>
          </w:p>
          <w:p w14:paraId="0F5F0839" w14:textId="77777777" w:rsidR="00DE5B9A" w:rsidRDefault="00DE5B9A" w:rsidP="00DE5B9A">
            <w:pPr>
              <w:pStyle w:val="NoSpacing"/>
              <w:numPr>
                <w:ilvl w:val="0"/>
                <w:numId w:val="12"/>
              </w:numPr>
              <w:ind w:left="504"/>
            </w:pPr>
            <w:r>
              <w:t>01/01/13 – 06/30/13, or</w:t>
            </w:r>
          </w:p>
          <w:p w14:paraId="4BCB2270" w14:textId="77777777" w:rsidR="00DE5B9A" w:rsidRDefault="00DE5B9A" w:rsidP="00DE5B9A">
            <w:pPr>
              <w:pStyle w:val="NoSpacing"/>
              <w:numPr>
                <w:ilvl w:val="0"/>
                <w:numId w:val="12"/>
              </w:numPr>
              <w:ind w:left="504"/>
            </w:pPr>
            <w:r>
              <w:t>07/01/13 – 12/31/13</w:t>
            </w:r>
          </w:p>
          <w:p w14:paraId="65593460" w14:textId="6DAB6535" w:rsidR="00F05C01" w:rsidRDefault="00DE5B9A" w:rsidP="00886E0E">
            <w:pPr>
              <w:pStyle w:val="NoSpacing"/>
            </w:pPr>
            <w:r>
              <w:rPr>
                <w:u w:val="single"/>
              </w:rPr>
              <w:t>Other</w:t>
            </w:r>
            <w:r>
              <w:t>: Providers specify/propose an alternative 6 or 12 month time period to be reviewed and approved by HHSC.</w:t>
            </w:r>
          </w:p>
        </w:tc>
        <w:tc>
          <w:tcPr>
            <w:tcW w:w="2642" w:type="dxa"/>
          </w:tcPr>
          <w:p w14:paraId="65593461"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65593462"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65593463"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642" w:type="dxa"/>
          </w:tcPr>
          <w:p w14:paraId="65593464" w14:textId="77777777" w:rsidR="00743628" w:rsidRDefault="00743628" w:rsidP="00743628">
            <w:pPr>
              <w:pStyle w:val="NoSpacing"/>
              <w:rPr>
                <w:b/>
              </w:rPr>
            </w:pPr>
            <w:r>
              <w:rPr>
                <w:b/>
              </w:rPr>
              <w:t>Providers must report data across a 12-month time period that meets the following parameters:</w:t>
            </w:r>
          </w:p>
          <w:p w14:paraId="65593465"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65593466"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6559346E" w14:textId="77777777" w:rsidTr="00AE6769">
        <w:tc>
          <w:tcPr>
            <w:tcW w:w="1998" w:type="dxa"/>
          </w:tcPr>
          <w:p w14:paraId="65593468" w14:textId="77777777" w:rsidR="00AD706B" w:rsidRDefault="00AD706B" w:rsidP="00A374B8">
            <w:pPr>
              <w:pStyle w:val="NoSpacing"/>
              <w:rPr>
                <w:b/>
              </w:rPr>
            </w:pPr>
            <w:r>
              <w:rPr>
                <w:b/>
              </w:rPr>
              <w:t>Reporting Opportunities to HHSC</w:t>
            </w:r>
          </w:p>
        </w:tc>
        <w:tc>
          <w:tcPr>
            <w:tcW w:w="2294" w:type="dxa"/>
          </w:tcPr>
          <w:p w14:paraId="65593469" w14:textId="77777777" w:rsidR="00AD706B" w:rsidRDefault="00AD706B" w:rsidP="00A374B8">
            <w:pPr>
              <w:pStyle w:val="NoSpacing"/>
              <w:jc w:val="center"/>
            </w:pPr>
            <w:r w:rsidRPr="00135F3A">
              <w:t>10</w:t>
            </w:r>
            <w:r>
              <w:t>/31/2014</w:t>
            </w:r>
          </w:p>
        </w:tc>
        <w:tc>
          <w:tcPr>
            <w:tcW w:w="2642" w:type="dxa"/>
          </w:tcPr>
          <w:p w14:paraId="6559346A" w14:textId="77777777" w:rsidR="00AD706B" w:rsidRPr="00135F3A" w:rsidRDefault="00AD706B" w:rsidP="00A374B8">
            <w:pPr>
              <w:pStyle w:val="NoSpacing"/>
              <w:jc w:val="center"/>
            </w:pPr>
            <w:r w:rsidRPr="00135F3A">
              <w:t>4/30/2015</w:t>
            </w:r>
          </w:p>
          <w:p w14:paraId="6559346B" w14:textId="77777777" w:rsidR="00AD706B" w:rsidRPr="00AC6074" w:rsidRDefault="00AD706B" w:rsidP="00A374B8">
            <w:pPr>
              <w:pStyle w:val="NoSpacing"/>
              <w:jc w:val="center"/>
              <w:rPr>
                <w:b/>
              </w:rPr>
            </w:pPr>
            <w:r w:rsidRPr="00135F3A">
              <w:t>10/31/2015</w:t>
            </w:r>
          </w:p>
        </w:tc>
        <w:tc>
          <w:tcPr>
            <w:tcW w:w="2642" w:type="dxa"/>
          </w:tcPr>
          <w:p w14:paraId="6559346C" w14:textId="77777777" w:rsidR="00AD706B" w:rsidRPr="00135F3A" w:rsidRDefault="00AD706B" w:rsidP="00A374B8">
            <w:pPr>
              <w:pStyle w:val="NoSpacing"/>
              <w:jc w:val="center"/>
            </w:pPr>
            <w:r w:rsidRPr="00135F3A">
              <w:t>4/30/2016</w:t>
            </w:r>
          </w:p>
          <w:p w14:paraId="6559346D" w14:textId="77777777" w:rsidR="00AD706B" w:rsidRDefault="00AD706B" w:rsidP="00A374B8">
            <w:pPr>
              <w:pStyle w:val="NoSpacing"/>
              <w:jc w:val="center"/>
              <w:rPr>
                <w:b/>
              </w:rPr>
            </w:pPr>
            <w:r w:rsidRPr="00135F3A">
              <w:t>10/31/2016</w:t>
            </w:r>
          </w:p>
        </w:tc>
      </w:tr>
      <w:tr w:rsidR="000D1199" w14:paraId="65593476" w14:textId="77777777" w:rsidTr="00AE6769">
        <w:tc>
          <w:tcPr>
            <w:tcW w:w="1998" w:type="dxa"/>
          </w:tcPr>
          <w:p w14:paraId="6559346F" w14:textId="77777777" w:rsidR="000D1199" w:rsidRDefault="000D1199" w:rsidP="000D1199">
            <w:pPr>
              <w:pStyle w:val="NoSpacing"/>
              <w:rPr>
                <w:b/>
              </w:rPr>
            </w:pPr>
            <w:r>
              <w:rPr>
                <w:b/>
              </w:rPr>
              <w:t>Pay for Performance Target Methodology</w:t>
            </w:r>
          </w:p>
          <w:p w14:paraId="65593470" w14:textId="77777777" w:rsidR="000D1199" w:rsidRDefault="000D1199" w:rsidP="000D1199">
            <w:pPr>
              <w:pStyle w:val="NoSpacing"/>
              <w:rPr>
                <w:b/>
              </w:rPr>
            </w:pPr>
          </w:p>
          <w:p w14:paraId="65593472" w14:textId="77777777" w:rsidR="000D1199" w:rsidRPr="000D1199" w:rsidRDefault="000D1199" w:rsidP="00DE5B9A">
            <w:pPr>
              <w:pStyle w:val="NoSpacing"/>
            </w:pPr>
          </w:p>
        </w:tc>
        <w:tc>
          <w:tcPr>
            <w:tcW w:w="2294" w:type="dxa"/>
          </w:tcPr>
          <w:p w14:paraId="65593473" w14:textId="77777777" w:rsidR="000D1199" w:rsidRDefault="000D1199" w:rsidP="000D1199">
            <w:pPr>
              <w:pStyle w:val="NoSpacing"/>
            </w:pPr>
            <w:r>
              <w:t>Not Applicable</w:t>
            </w:r>
          </w:p>
        </w:tc>
        <w:tc>
          <w:tcPr>
            <w:tcW w:w="2642" w:type="dxa"/>
          </w:tcPr>
          <w:p w14:paraId="65593474" w14:textId="1B68F407" w:rsidR="000D1199" w:rsidRDefault="00DE5B9A" w:rsidP="000D1199">
            <w:pPr>
              <w:pStyle w:val="NoSpacing"/>
            </w:pPr>
            <w:r>
              <w:t>QISMC</w:t>
            </w:r>
          </w:p>
        </w:tc>
        <w:tc>
          <w:tcPr>
            <w:tcW w:w="2642" w:type="dxa"/>
          </w:tcPr>
          <w:p w14:paraId="65593475" w14:textId="2466776D" w:rsidR="000D1199" w:rsidRDefault="00DE5B9A" w:rsidP="000D1199">
            <w:pPr>
              <w:pStyle w:val="NoSpacing"/>
            </w:pPr>
            <w:r>
              <w:t>QISMC</w:t>
            </w:r>
          </w:p>
        </w:tc>
      </w:tr>
      <w:tr w:rsidR="00DE5B9A" w14:paraId="6559347C" w14:textId="77777777" w:rsidTr="00AE6769">
        <w:tc>
          <w:tcPr>
            <w:tcW w:w="1998" w:type="dxa"/>
          </w:tcPr>
          <w:p w14:paraId="65593477" w14:textId="77777777" w:rsidR="00DE5B9A" w:rsidRDefault="00DE5B9A" w:rsidP="00A374B8">
            <w:pPr>
              <w:pStyle w:val="NoSpacing"/>
              <w:rPr>
                <w:b/>
              </w:rPr>
            </w:pPr>
            <w:r>
              <w:rPr>
                <w:b/>
              </w:rPr>
              <w:t xml:space="preserve">Pay for Performance QISMC Benchmark </w:t>
            </w:r>
            <w:r>
              <w:rPr>
                <w:b/>
              </w:rPr>
              <w:lastRenderedPageBreak/>
              <w:t xml:space="preserve">Definition </w:t>
            </w:r>
          </w:p>
          <w:p w14:paraId="65593478" w14:textId="77777777" w:rsidR="00DE5B9A" w:rsidRPr="008B27F1" w:rsidRDefault="00DE5B9A" w:rsidP="00A374B8">
            <w:pPr>
              <w:pStyle w:val="NoSpacing"/>
            </w:pPr>
          </w:p>
        </w:tc>
        <w:tc>
          <w:tcPr>
            <w:tcW w:w="2294" w:type="dxa"/>
          </w:tcPr>
          <w:p w14:paraId="65593479" w14:textId="77777777" w:rsidR="00DE5B9A" w:rsidRPr="0088544A" w:rsidRDefault="00DE5B9A" w:rsidP="000D1199">
            <w:pPr>
              <w:pStyle w:val="NoSpacing"/>
            </w:pPr>
            <w:r>
              <w:lastRenderedPageBreak/>
              <w:t>Not Applicable</w:t>
            </w:r>
          </w:p>
        </w:tc>
        <w:tc>
          <w:tcPr>
            <w:tcW w:w="2642" w:type="dxa"/>
          </w:tcPr>
          <w:p w14:paraId="6559347A" w14:textId="0A0063FF" w:rsidR="00DE5B9A" w:rsidRPr="0088544A" w:rsidRDefault="00DE5B9A" w:rsidP="0088642E">
            <w:pPr>
              <w:pStyle w:val="NoSpacing"/>
            </w:pPr>
            <w:r>
              <w:t>National Medicaid</w:t>
            </w:r>
          </w:p>
        </w:tc>
        <w:tc>
          <w:tcPr>
            <w:tcW w:w="2642" w:type="dxa"/>
          </w:tcPr>
          <w:p w14:paraId="6559347B" w14:textId="4C08E77B" w:rsidR="00DE5B9A" w:rsidRPr="0088544A" w:rsidRDefault="00DE5B9A" w:rsidP="004D0FC3">
            <w:pPr>
              <w:pStyle w:val="NoSpacing"/>
            </w:pPr>
            <w:r>
              <w:t>National Medicaid</w:t>
            </w:r>
            <w:bookmarkStart w:id="0" w:name="_GoBack"/>
            <w:bookmarkEnd w:id="0"/>
          </w:p>
        </w:tc>
      </w:tr>
      <w:tr w:rsidR="00DE5B9A" w14:paraId="65593482" w14:textId="77777777" w:rsidTr="00AE6769">
        <w:tc>
          <w:tcPr>
            <w:tcW w:w="1998" w:type="dxa"/>
          </w:tcPr>
          <w:p w14:paraId="6559347D" w14:textId="77777777" w:rsidR="00DE5B9A" w:rsidRDefault="00DE5B9A" w:rsidP="0088642E">
            <w:pPr>
              <w:pStyle w:val="NoSpacing"/>
              <w:rPr>
                <w:b/>
              </w:rPr>
            </w:pPr>
            <w:r>
              <w:rPr>
                <w:b/>
              </w:rPr>
              <w:lastRenderedPageBreak/>
              <w:t>Pay for Performance QISMC Benchmark Source</w:t>
            </w:r>
          </w:p>
          <w:p w14:paraId="6559347E" w14:textId="77777777" w:rsidR="00DE5B9A" w:rsidRDefault="00DE5B9A" w:rsidP="00A374B8">
            <w:pPr>
              <w:pStyle w:val="NoSpacing"/>
              <w:rPr>
                <w:b/>
              </w:rPr>
            </w:pPr>
          </w:p>
        </w:tc>
        <w:tc>
          <w:tcPr>
            <w:tcW w:w="2294" w:type="dxa"/>
          </w:tcPr>
          <w:p w14:paraId="6559347F" w14:textId="77777777" w:rsidR="00DE5B9A" w:rsidRDefault="00DE5B9A" w:rsidP="000D1199">
            <w:pPr>
              <w:pStyle w:val="NoSpacing"/>
            </w:pPr>
            <w:r>
              <w:t>Not Applicable</w:t>
            </w:r>
          </w:p>
        </w:tc>
        <w:tc>
          <w:tcPr>
            <w:tcW w:w="2642" w:type="dxa"/>
          </w:tcPr>
          <w:p w14:paraId="65593480" w14:textId="75BF54F5" w:rsidR="00DE5B9A" w:rsidRDefault="00DE5B9A">
            <w:r>
              <w:t>NCQA Quality Compass</w:t>
            </w:r>
          </w:p>
        </w:tc>
        <w:tc>
          <w:tcPr>
            <w:tcW w:w="2642" w:type="dxa"/>
          </w:tcPr>
          <w:p w14:paraId="65593481" w14:textId="482B1FEF" w:rsidR="00DE5B9A" w:rsidRDefault="00DE5B9A">
            <w:r>
              <w:t>NCQA Quality Compass</w:t>
            </w:r>
          </w:p>
        </w:tc>
      </w:tr>
      <w:tr w:rsidR="00DE5B9A" w14:paraId="65593487" w14:textId="77777777" w:rsidTr="00AE6769">
        <w:tc>
          <w:tcPr>
            <w:tcW w:w="1998" w:type="dxa"/>
          </w:tcPr>
          <w:p w14:paraId="65593483" w14:textId="77777777" w:rsidR="00DE5B9A" w:rsidRDefault="00DE5B9A" w:rsidP="00A374B8">
            <w:pPr>
              <w:pStyle w:val="NoSpacing"/>
              <w:rPr>
                <w:b/>
              </w:rPr>
            </w:pPr>
            <w:r>
              <w:rPr>
                <w:b/>
              </w:rPr>
              <w:t>Pay for Performance QISMC High Performance Level Definition</w:t>
            </w:r>
          </w:p>
        </w:tc>
        <w:tc>
          <w:tcPr>
            <w:tcW w:w="2294" w:type="dxa"/>
          </w:tcPr>
          <w:p w14:paraId="65593484" w14:textId="77777777" w:rsidR="00DE5B9A" w:rsidRDefault="00DE5B9A" w:rsidP="000D1199">
            <w:pPr>
              <w:pStyle w:val="NoSpacing"/>
            </w:pPr>
            <w:r>
              <w:t>Not Applicable</w:t>
            </w:r>
          </w:p>
        </w:tc>
        <w:tc>
          <w:tcPr>
            <w:tcW w:w="2642" w:type="dxa"/>
          </w:tcPr>
          <w:p w14:paraId="65593485" w14:textId="3974E113" w:rsidR="00DE5B9A" w:rsidRDefault="00DE5B9A">
            <w:r>
              <w:t>90th percentile</w:t>
            </w:r>
          </w:p>
        </w:tc>
        <w:tc>
          <w:tcPr>
            <w:tcW w:w="2642" w:type="dxa"/>
          </w:tcPr>
          <w:p w14:paraId="65593486" w14:textId="53EB7A28" w:rsidR="00DE5B9A" w:rsidRDefault="00DE5B9A">
            <w:r>
              <w:t>90th percentile</w:t>
            </w:r>
          </w:p>
        </w:tc>
      </w:tr>
      <w:tr w:rsidR="00DE5B9A" w14:paraId="6559348C" w14:textId="77777777" w:rsidTr="00AE6769">
        <w:tc>
          <w:tcPr>
            <w:tcW w:w="1998" w:type="dxa"/>
          </w:tcPr>
          <w:p w14:paraId="65593488" w14:textId="77777777" w:rsidR="00DE5B9A" w:rsidRDefault="00DE5B9A" w:rsidP="005802A0">
            <w:pPr>
              <w:pStyle w:val="NoSpacing"/>
              <w:rPr>
                <w:b/>
              </w:rPr>
            </w:pPr>
            <w:r>
              <w:rPr>
                <w:b/>
              </w:rPr>
              <w:t>Pay for Performance QISMC High Performance Level Value</w:t>
            </w:r>
          </w:p>
        </w:tc>
        <w:tc>
          <w:tcPr>
            <w:tcW w:w="2294" w:type="dxa"/>
          </w:tcPr>
          <w:p w14:paraId="65593489" w14:textId="77777777" w:rsidR="00DE5B9A" w:rsidRDefault="00DE5B9A" w:rsidP="000D1199">
            <w:pPr>
              <w:pStyle w:val="NoSpacing"/>
            </w:pPr>
            <w:r>
              <w:t>Not Applicable</w:t>
            </w:r>
          </w:p>
        </w:tc>
        <w:tc>
          <w:tcPr>
            <w:tcW w:w="2642" w:type="dxa"/>
          </w:tcPr>
          <w:p w14:paraId="6559348A" w14:textId="0BBA2BB9" w:rsidR="00DE5B9A" w:rsidRDefault="00DE5B9A">
            <w:r>
              <w:t>69.37%</w:t>
            </w:r>
          </w:p>
        </w:tc>
        <w:tc>
          <w:tcPr>
            <w:tcW w:w="2642" w:type="dxa"/>
          </w:tcPr>
          <w:p w14:paraId="6559348B" w14:textId="002C0DDC" w:rsidR="00DE5B9A" w:rsidRDefault="00DE5B9A">
            <w:r>
              <w:t>69.37%</w:t>
            </w:r>
          </w:p>
        </w:tc>
      </w:tr>
      <w:tr w:rsidR="00DE5B9A" w14:paraId="65593491" w14:textId="77777777" w:rsidTr="00AE6769">
        <w:tc>
          <w:tcPr>
            <w:tcW w:w="1998" w:type="dxa"/>
          </w:tcPr>
          <w:p w14:paraId="6559348D" w14:textId="77777777" w:rsidR="00DE5B9A" w:rsidRDefault="00DE5B9A" w:rsidP="00823868">
            <w:pPr>
              <w:pStyle w:val="NoSpacing"/>
              <w:rPr>
                <w:b/>
              </w:rPr>
            </w:pPr>
            <w:r>
              <w:rPr>
                <w:b/>
              </w:rPr>
              <w:t>Pay for Performance QISMC Minimum Performance Level Definition</w:t>
            </w:r>
          </w:p>
        </w:tc>
        <w:tc>
          <w:tcPr>
            <w:tcW w:w="2294" w:type="dxa"/>
          </w:tcPr>
          <w:p w14:paraId="6559348E" w14:textId="77777777" w:rsidR="00DE5B9A" w:rsidRDefault="00DE5B9A" w:rsidP="000D1199">
            <w:pPr>
              <w:pStyle w:val="NoSpacing"/>
            </w:pPr>
            <w:r>
              <w:t>Not Applicable</w:t>
            </w:r>
          </w:p>
        </w:tc>
        <w:tc>
          <w:tcPr>
            <w:tcW w:w="2642" w:type="dxa"/>
          </w:tcPr>
          <w:p w14:paraId="6559348F" w14:textId="351C667F" w:rsidR="00DE5B9A" w:rsidRDefault="00DE5B9A">
            <w:r>
              <w:t>25th percentile</w:t>
            </w:r>
          </w:p>
        </w:tc>
        <w:tc>
          <w:tcPr>
            <w:tcW w:w="2642" w:type="dxa"/>
          </w:tcPr>
          <w:p w14:paraId="65593490" w14:textId="1D94EB1C" w:rsidR="00DE5B9A" w:rsidRDefault="00DE5B9A">
            <w:r>
              <w:t>25th percentile</w:t>
            </w:r>
          </w:p>
        </w:tc>
      </w:tr>
      <w:tr w:rsidR="00DE5B9A" w14:paraId="65593496" w14:textId="77777777" w:rsidTr="00AE6769">
        <w:tc>
          <w:tcPr>
            <w:tcW w:w="1998" w:type="dxa"/>
          </w:tcPr>
          <w:p w14:paraId="65593492" w14:textId="77777777" w:rsidR="00DE5B9A" w:rsidRDefault="00DE5B9A" w:rsidP="004D0FC3">
            <w:pPr>
              <w:pStyle w:val="NoSpacing"/>
              <w:rPr>
                <w:b/>
              </w:rPr>
            </w:pPr>
            <w:r>
              <w:rPr>
                <w:b/>
              </w:rPr>
              <w:t>Pay for Performance QISMC Minimum Performance Level Value</w:t>
            </w:r>
          </w:p>
        </w:tc>
        <w:tc>
          <w:tcPr>
            <w:tcW w:w="2294" w:type="dxa"/>
          </w:tcPr>
          <w:p w14:paraId="65593493" w14:textId="77777777" w:rsidR="00DE5B9A" w:rsidRDefault="00DE5B9A" w:rsidP="004D0FC3">
            <w:pPr>
              <w:pStyle w:val="NoSpacing"/>
            </w:pPr>
            <w:r>
              <w:t>Not Applicable</w:t>
            </w:r>
          </w:p>
        </w:tc>
        <w:tc>
          <w:tcPr>
            <w:tcW w:w="2642" w:type="dxa"/>
          </w:tcPr>
          <w:p w14:paraId="65593494" w14:textId="750C5248" w:rsidR="00DE5B9A" w:rsidRDefault="00DE5B9A">
            <w:r>
              <w:t>38.28%</w:t>
            </w:r>
          </w:p>
        </w:tc>
        <w:tc>
          <w:tcPr>
            <w:tcW w:w="2642" w:type="dxa"/>
          </w:tcPr>
          <w:p w14:paraId="65593495" w14:textId="74BD8E70" w:rsidR="00DE5B9A" w:rsidRDefault="00DE5B9A">
            <w:r>
              <w:t>38.28%</w:t>
            </w:r>
          </w:p>
        </w:tc>
      </w:tr>
    </w:tbl>
    <w:p w14:paraId="65593497"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9349D" w14:textId="77777777" w:rsidR="00B7257A" w:rsidRDefault="00B7257A" w:rsidP="00F63191">
      <w:pPr>
        <w:spacing w:after="0" w:line="240" w:lineRule="auto"/>
      </w:pPr>
      <w:r>
        <w:separator/>
      </w:r>
    </w:p>
  </w:endnote>
  <w:endnote w:type="continuationSeparator" w:id="0">
    <w:p w14:paraId="6559349E" w14:textId="77777777" w:rsidR="00B7257A" w:rsidRDefault="00B7257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655934A0" w14:textId="77777777" w:rsidR="002E14AF" w:rsidRDefault="002E14AF">
        <w:pPr>
          <w:pStyle w:val="Footer"/>
          <w:jc w:val="right"/>
        </w:pPr>
        <w:r>
          <w:fldChar w:fldCharType="begin"/>
        </w:r>
        <w:r>
          <w:instrText xml:space="preserve"> PAGE   \* MERGEFORMAT </w:instrText>
        </w:r>
        <w:r>
          <w:fldChar w:fldCharType="separate"/>
        </w:r>
        <w:r w:rsidR="000D6A1E">
          <w:rPr>
            <w:noProof/>
          </w:rPr>
          <w:t>4</w:t>
        </w:r>
        <w:r>
          <w:rPr>
            <w:noProof/>
          </w:rPr>
          <w:fldChar w:fldCharType="end"/>
        </w:r>
      </w:p>
    </w:sdtContent>
  </w:sdt>
  <w:p w14:paraId="655934A1"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9349B" w14:textId="77777777" w:rsidR="00B7257A" w:rsidRDefault="00B7257A" w:rsidP="00F63191">
      <w:pPr>
        <w:spacing w:after="0" w:line="240" w:lineRule="auto"/>
      </w:pPr>
      <w:r>
        <w:separator/>
      </w:r>
    </w:p>
  </w:footnote>
  <w:footnote w:type="continuationSeparator" w:id="0">
    <w:p w14:paraId="6559349C" w14:textId="77777777" w:rsidR="00B7257A" w:rsidRDefault="00B7257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349F" w14:textId="10825B2F"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21C8"/>
    <w:multiLevelType w:val="hybridMultilevel"/>
    <w:tmpl w:val="525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3"/>
  </w:num>
  <w:num w:numId="6">
    <w:abstractNumId w:val="6"/>
  </w:num>
  <w:num w:numId="7">
    <w:abstractNumId w:val="11"/>
  </w:num>
  <w:num w:numId="8">
    <w:abstractNumId w:val="7"/>
  </w:num>
  <w:num w:numId="9">
    <w:abstractNumId w:val="8"/>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D6A1E"/>
    <w:rsid w:val="000E7EED"/>
    <w:rsid w:val="00100A2F"/>
    <w:rsid w:val="00107C1A"/>
    <w:rsid w:val="0011709A"/>
    <w:rsid w:val="00165D76"/>
    <w:rsid w:val="001D6BEA"/>
    <w:rsid w:val="002224F0"/>
    <w:rsid w:val="00245754"/>
    <w:rsid w:val="00271E53"/>
    <w:rsid w:val="002845C2"/>
    <w:rsid w:val="002A2FB4"/>
    <w:rsid w:val="002E14AF"/>
    <w:rsid w:val="0032246B"/>
    <w:rsid w:val="00346B8D"/>
    <w:rsid w:val="00356CF4"/>
    <w:rsid w:val="00366D0B"/>
    <w:rsid w:val="00375652"/>
    <w:rsid w:val="00383516"/>
    <w:rsid w:val="003844DB"/>
    <w:rsid w:val="003A409E"/>
    <w:rsid w:val="003F4E8D"/>
    <w:rsid w:val="00410767"/>
    <w:rsid w:val="00416E44"/>
    <w:rsid w:val="00502BE4"/>
    <w:rsid w:val="00506BC5"/>
    <w:rsid w:val="00536799"/>
    <w:rsid w:val="00561D6D"/>
    <w:rsid w:val="005802A0"/>
    <w:rsid w:val="005857E6"/>
    <w:rsid w:val="005B79DD"/>
    <w:rsid w:val="005C70A1"/>
    <w:rsid w:val="005F4D43"/>
    <w:rsid w:val="007164C7"/>
    <w:rsid w:val="00743628"/>
    <w:rsid w:val="00760D27"/>
    <w:rsid w:val="00787D45"/>
    <w:rsid w:val="007C728B"/>
    <w:rsid w:val="007C7C85"/>
    <w:rsid w:val="007E0395"/>
    <w:rsid w:val="007F675B"/>
    <w:rsid w:val="007F7C07"/>
    <w:rsid w:val="00823868"/>
    <w:rsid w:val="00827557"/>
    <w:rsid w:val="008722BB"/>
    <w:rsid w:val="008779F5"/>
    <w:rsid w:val="0088642E"/>
    <w:rsid w:val="00886E0E"/>
    <w:rsid w:val="008A3EB5"/>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95BD0"/>
    <w:rsid w:val="00AC3A97"/>
    <w:rsid w:val="00AD706B"/>
    <w:rsid w:val="00AE6769"/>
    <w:rsid w:val="00AF3A3D"/>
    <w:rsid w:val="00B05CBF"/>
    <w:rsid w:val="00B20462"/>
    <w:rsid w:val="00B546CF"/>
    <w:rsid w:val="00B65D92"/>
    <w:rsid w:val="00B7257A"/>
    <w:rsid w:val="00BA61F1"/>
    <w:rsid w:val="00BC4643"/>
    <w:rsid w:val="00C01E6F"/>
    <w:rsid w:val="00C86C48"/>
    <w:rsid w:val="00C9758A"/>
    <w:rsid w:val="00CA2D3E"/>
    <w:rsid w:val="00CA4C08"/>
    <w:rsid w:val="00CC28BC"/>
    <w:rsid w:val="00CD7069"/>
    <w:rsid w:val="00D1777E"/>
    <w:rsid w:val="00D63CD3"/>
    <w:rsid w:val="00DB7651"/>
    <w:rsid w:val="00DE5B9A"/>
    <w:rsid w:val="00DE660A"/>
    <w:rsid w:val="00E43145"/>
    <w:rsid w:val="00E658AE"/>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fthighlight">
    <w:name w:val="ft_highlight"/>
    <w:basedOn w:val="DefaultParagraphFont"/>
    <w:rsid w:val="00AE6769"/>
  </w:style>
  <w:style w:type="character" w:styleId="FollowedHyperlink">
    <w:name w:val="FollowedHyperlink"/>
    <w:basedOn w:val="DefaultParagraphFont"/>
    <w:uiPriority w:val="99"/>
    <w:semiHidden/>
    <w:unhideWhenUsed/>
    <w:rsid w:val="00E658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fthighlight">
    <w:name w:val="ft_highlight"/>
    <w:basedOn w:val="DefaultParagraphFont"/>
    <w:rsid w:val="00AE6769"/>
  </w:style>
  <w:style w:type="character" w:styleId="FollowedHyperlink">
    <w:name w:val="FollowedHyperlink"/>
    <w:basedOn w:val="DefaultParagraphFont"/>
    <w:uiPriority w:val="99"/>
    <w:semiHidden/>
    <w:unhideWhenUsed/>
    <w:rsid w:val="00E65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254169479">
      <w:bodyDiv w:val="1"/>
      <w:marLeft w:val="0"/>
      <w:marRight w:val="0"/>
      <w:marTop w:val="0"/>
      <w:marBottom w:val="0"/>
      <w:divBdr>
        <w:top w:val="none" w:sz="0" w:space="0" w:color="auto"/>
        <w:left w:val="none" w:sz="0" w:space="0" w:color="auto"/>
        <w:bottom w:val="none" w:sz="0" w:space="0" w:color="auto"/>
        <w:right w:val="none" w:sz="0" w:space="0" w:color="auto"/>
      </w:divBdr>
    </w:div>
    <w:div w:id="7987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content.aspx?id=38920&amp;search=annual+dental+vis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138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BD3871-AA1B-47AB-90C6-946BA70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2014-03-08T04:39:00Z</dcterms:created>
  <dcterms:modified xsi:type="dcterms:W3CDTF">2014-03-08T04:39:00Z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