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6F5A" w14:textId="578A2469" w:rsidR="00AD706B" w:rsidRDefault="00AD706B" w:rsidP="00AD706B">
      <w:pPr>
        <w:pStyle w:val="Heading1"/>
      </w:pPr>
      <w:r>
        <w:t>IT-</w:t>
      </w:r>
      <w:r w:rsidR="00E93422">
        <w:t>7.18</w:t>
      </w:r>
      <w:r>
        <w:t xml:space="preserve">:  </w:t>
      </w:r>
      <w:r w:rsidR="00E93422" w:rsidRPr="00E93422">
        <w:t xml:space="preserve">Usual Source of </w:t>
      </w:r>
      <w:r w:rsidR="007A062D">
        <w:t xml:space="preserve">Pediatric Dental </w:t>
      </w:r>
      <w:r w:rsidR="00E93422" w:rsidRPr="00E93422">
        <w:t>Services</w:t>
      </w:r>
      <w:r w:rsidR="007A062D">
        <w:t xml:space="preserve"> </w:t>
      </w:r>
    </w:p>
    <w:tbl>
      <w:tblPr>
        <w:tblStyle w:val="TableGrid"/>
        <w:tblW w:w="0" w:type="auto"/>
        <w:tblLayout w:type="fixed"/>
        <w:tblLook w:val="04A0" w:firstRow="1" w:lastRow="0" w:firstColumn="1" w:lastColumn="0" w:noHBand="0" w:noVBand="1"/>
      </w:tblPr>
      <w:tblGrid>
        <w:gridCol w:w="2268"/>
        <w:gridCol w:w="2436"/>
        <w:gridCol w:w="2436"/>
        <w:gridCol w:w="2436"/>
      </w:tblGrid>
      <w:tr w:rsidR="00AD706B" w14:paraId="03836F5D" w14:textId="77777777" w:rsidTr="007F360C">
        <w:trPr>
          <w:tblHeader/>
        </w:trPr>
        <w:tc>
          <w:tcPr>
            <w:tcW w:w="2268" w:type="dxa"/>
            <w:shd w:val="clear" w:color="auto" w:fill="F2F2F2" w:themeFill="background1" w:themeFillShade="F2"/>
          </w:tcPr>
          <w:p w14:paraId="03836F5B" w14:textId="77777777" w:rsidR="00AD706B" w:rsidRPr="00717546" w:rsidRDefault="00AD706B" w:rsidP="00A374B8">
            <w:pPr>
              <w:pStyle w:val="NoSpacing"/>
              <w:rPr>
                <w:b/>
              </w:rPr>
            </w:pPr>
            <w:r w:rsidRPr="00717546">
              <w:rPr>
                <w:b/>
              </w:rPr>
              <w:t>Measure Title</w:t>
            </w:r>
          </w:p>
        </w:tc>
        <w:tc>
          <w:tcPr>
            <w:tcW w:w="7308" w:type="dxa"/>
            <w:gridSpan w:val="3"/>
            <w:shd w:val="clear" w:color="auto" w:fill="F2F2F2" w:themeFill="background1" w:themeFillShade="F2"/>
          </w:tcPr>
          <w:p w14:paraId="03836F5C" w14:textId="1D37A3D9" w:rsidR="00AD706B" w:rsidRPr="008779F5" w:rsidRDefault="007F360C" w:rsidP="00B05CBF">
            <w:pPr>
              <w:pStyle w:val="NoSpacing"/>
              <w:rPr>
                <w:b/>
              </w:rPr>
            </w:pPr>
            <w:r w:rsidRPr="00E93422">
              <w:t xml:space="preserve">Usual Source of </w:t>
            </w:r>
            <w:r w:rsidR="007A062D">
              <w:t xml:space="preserve">Pediatric Dental </w:t>
            </w:r>
            <w:r w:rsidRPr="00E93422">
              <w:t>Services</w:t>
            </w:r>
          </w:p>
        </w:tc>
      </w:tr>
      <w:tr w:rsidR="00AD706B" w14:paraId="03836F60" w14:textId="77777777" w:rsidTr="007F360C">
        <w:tc>
          <w:tcPr>
            <w:tcW w:w="2268" w:type="dxa"/>
          </w:tcPr>
          <w:p w14:paraId="03836F5E" w14:textId="77777777" w:rsidR="00AD706B" w:rsidRPr="00717546" w:rsidRDefault="00AD706B" w:rsidP="00A374B8">
            <w:pPr>
              <w:pStyle w:val="NoSpacing"/>
              <w:rPr>
                <w:b/>
              </w:rPr>
            </w:pPr>
            <w:r w:rsidRPr="00717546">
              <w:rPr>
                <w:b/>
              </w:rPr>
              <w:t>Description</w:t>
            </w:r>
          </w:p>
        </w:tc>
        <w:tc>
          <w:tcPr>
            <w:tcW w:w="7308" w:type="dxa"/>
            <w:gridSpan w:val="3"/>
          </w:tcPr>
          <w:p w14:paraId="03836F5F" w14:textId="04F4A5F3" w:rsidR="00AD706B" w:rsidRDefault="007F360C" w:rsidP="00B81163">
            <w:pPr>
              <w:pStyle w:val="NoSpacing"/>
            </w:pPr>
            <w:r>
              <w:t xml:space="preserve">Percentage of </w:t>
            </w:r>
            <w:r w:rsidR="00DC25D3">
              <w:t>u</w:t>
            </w:r>
            <w:r w:rsidR="00DC25D3" w:rsidRPr="00DC25D3">
              <w:t xml:space="preserve">nduplicated children who had at least one dental service encounter in the 12-month period prior to the measurement period </w:t>
            </w:r>
            <w:r w:rsidR="00DC25D3">
              <w:t xml:space="preserve">or </w:t>
            </w:r>
            <w:r w:rsidR="00DC25D3" w:rsidRPr="00DC25D3">
              <w:t xml:space="preserve">at least one dental service encounter </w:t>
            </w:r>
            <w:r w:rsidR="00DC25D3">
              <w:t xml:space="preserve">during the measurement period who </w:t>
            </w:r>
            <w:r w:rsidR="00DC25D3" w:rsidRPr="00DC25D3">
              <w:t xml:space="preserve">visited the same practice or clinical entity in </w:t>
            </w:r>
            <w:r w:rsidR="00DC25D3">
              <w:t xml:space="preserve">both periods. </w:t>
            </w:r>
          </w:p>
        </w:tc>
      </w:tr>
      <w:tr w:rsidR="00AD706B" w14:paraId="03836F63" w14:textId="77777777" w:rsidTr="007F360C">
        <w:tc>
          <w:tcPr>
            <w:tcW w:w="2268" w:type="dxa"/>
          </w:tcPr>
          <w:p w14:paraId="03836F61" w14:textId="077A863E" w:rsidR="00AD706B" w:rsidRPr="00717546" w:rsidRDefault="00AD706B" w:rsidP="00A374B8">
            <w:pPr>
              <w:pStyle w:val="NoSpacing"/>
              <w:rPr>
                <w:b/>
              </w:rPr>
            </w:pPr>
            <w:r w:rsidRPr="00717546">
              <w:rPr>
                <w:b/>
              </w:rPr>
              <w:t>NQF Number</w:t>
            </w:r>
          </w:p>
        </w:tc>
        <w:tc>
          <w:tcPr>
            <w:tcW w:w="7308" w:type="dxa"/>
            <w:gridSpan w:val="3"/>
          </w:tcPr>
          <w:p w14:paraId="03836F62" w14:textId="77777777" w:rsidR="00AD706B" w:rsidRDefault="007F360C" w:rsidP="00B05CBF">
            <w:pPr>
              <w:pStyle w:val="NoSpacing"/>
            </w:pPr>
            <w:r>
              <w:t>Not applicable</w:t>
            </w:r>
          </w:p>
        </w:tc>
      </w:tr>
      <w:tr w:rsidR="00AD706B" w14:paraId="03836F66" w14:textId="77777777" w:rsidTr="007F360C">
        <w:tc>
          <w:tcPr>
            <w:tcW w:w="2268" w:type="dxa"/>
          </w:tcPr>
          <w:p w14:paraId="03836F64" w14:textId="77777777" w:rsidR="00AD706B" w:rsidRPr="00717546" w:rsidRDefault="00AD706B" w:rsidP="00A374B8">
            <w:pPr>
              <w:pStyle w:val="NoSpacing"/>
              <w:rPr>
                <w:b/>
              </w:rPr>
            </w:pPr>
            <w:r>
              <w:rPr>
                <w:b/>
              </w:rPr>
              <w:t>Measure Steward</w:t>
            </w:r>
          </w:p>
        </w:tc>
        <w:tc>
          <w:tcPr>
            <w:tcW w:w="7308" w:type="dxa"/>
            <w:gridSpan w:val="3"/>
          </w:tcPr>
          <w:p w14:paraId="03836F65" w14:textId="77777777" w:rsidR="00AD706B" w:rsidRPr="00631E85" w:rsidRDefault="007F360C" w:rsidP="007F360C">
            <w:pPr>
              <w:pStyle w:val="NoSpacing"/>
            </w:pPr>
            <w:r>
              <w:t>American Dental Association</w:t>
            </w:r>
          </w:p>
        </w:tc>
      </w:tr>
      <w:tr w:rsidR="00AD706B" w14:paraId="03836F6A" w14:textId="77777777" w:rsidTr="007F360C">
        <w:tc>
          <w:tcPr>
            <w:tcW w:w="2268" w:type="dxa"/>
          </w:tcPr>
          <w:p w14:paraId="03836F67" w14:textId="77777777" w:rsidR="00AD706B" w:rsidRDefault="00AD706B" w:rsidP="00A374B8">
            <w:pPr>
              <w:pStyle w:val="NoSpacing"/>
              <w:rPr>
                <w:b/>
              </w:rPr>
            </w:pPr>
            <w:r>
              <w:rPr>
                <w:b/>
              </w:rPr>
              <w:t>Link to measure citation</w:t>
            </w:r>
          </w:p>
        </w:tc>
        <w:tc>
          <w:tcPr>
            <w:tcW w:w="7308" w:type="dxa"/>
            <w:gridSpan w:val="3"/>
          </w:tcPr>
          <w:p w14:paraId="03836F68" w14:textId="77777777" w:rsidR="00AD706B" w:rsidRDefault="00C22E28" w:rsidP="00561D6D">
            <w:pPr>
              <w:pStyle w:val="NoSpacing"/>
            </w:pPr>
            <w:hyperlink r:id="rId12" w:history="1">
              <w:r w:rsidR="007F360C" w:rsidRPr="00490DF3">
                <w:rPr>
                  <w:rStyle w:val="Hyperlink"/>
                </w:rPr>
                <w:t>http://www.ada.org/sections/dentalPracticeHub/pdfs/5_DQA_Usual_Source_of_Services%282%29.pdf</w:t>
              </w:r>
            </w:hyperlink>
          </w:p>
          <w:p w14:paraId="03836F69" w14:textId="77777777" w:rsidR="007F360C" w:rsidRPr="00631E85" w:rsidRDefault="007F360C" w:rsidP="00561D6D">
            <w:pPr>
              <w:pStyle w:val="NoSpacing"/>
            </w:pPr>
          </w:p>
        </w:tc>
      </w:tr>
      <w:tr w:rsidR="00AD706B" w14:paraId="03836F6D" w14:textId="77777777" w:rsidTr="007F360C">
        <w:tc>
          <w:tcPr>
            <w:tcW w:w="2268" w:type="dxa"/>
          </w:tcPr>
          <w:p w14:paraId="03836F6B" w14:textId="77777777" w:rsidR="00AD706B" w:rsidRDefault="00AD706B" w:rsidP="00A374B8">
            <w:pPr>
              <w:pStyle w:val="NoSpacing"/>
              <w:rPr>
                <w:b/>
              </w:rPr>
            </w:pPr>
            <w:r>
              <w:rPr>
                <w:b/>
              </w:rPr>
              <w:t>Measure type</w:t>
            </w:r>
          </w:p>
        </w:tc>
        <w:tc>
          <w:tcPr>
            <w:tcW w:w="7308" w:type="dxa"/>
            <w:gridSpan w:val="3"/>
          </w:tcPr>
          <w:p w14:paraId="03836F6C" w14:textId="77777777" w:rsidR="00AD706B" w:rsidRDefault="00165D76" w:rsidP="007F360C">
            <w:pPr>
              <w:pStyle w:val="NoSpacing"/>
            </w:pPr>
            <w:r>
              <w:t>Non Stand-A</w:t>
            </w:r>
            <w:r w:rsidR="00AD706B">
              <w:t>lone</w:t>
            </w:r>
            <w:r>
              <w:t xml:space="preserve"> (NSA)</w:t>
            </w:r>
          </w:p>
        </w:tc>
      </w:tr>
      <w:tr w:rsidR="00AD706B" w14:paraId="03836F70" w14:textId="77777777" w:rsidTr="007F360C">
        <w:tc>
          <w:tcPr>
            <w:tcW w:w="2268" w:type="dxa"/>
          </w:tcPr>
          <w:p w14:paraId="03836F6E" w14:textId="77777777" w:rsidR="00AD706B" w:rsidRDefault="00AD706B" w:rsidP="00A374B8">
            <w:pPr>
              <w:pStyle w:val="NoSpacing"/>
              <w:rPr>
                <w:b/>
              </w:rPr>
            </w:pPr>
            <w:r>
              <w:rPr>
                <w:b/>
              </w:rPr>
              <w:t>Measure status</w:t>
            </w:r>
          </w:p>
        </w:tc>
        <w:tc>
          <w:tcPr>
            <w:tcW w:w="7308" w:type="dxa"/>
            <w:gridSpan w:val="3"/>
          </w:tcPr>
          <w:p w14:paraId="03836F6F" w14:textId="29C1200F" w:rsidR="00AD706B" w:rsidRDefault="008D7F3C" w:rsidP="00967948">
            <w:pPr>
              <w:pStyle w:val="NoSpacing"/>
            </w:pPr>
            <w:r>
              <w:t>P4P</w:t>
            </w:r>
          </w:p>
        </w:tc>
      </w:tr>
      <w:tr w:rsidR="00AD706B" w14:paraId="03836F77" w14:textId="77777777" w:rsidTr="007F360C">
        <w:tc>
          <w:tcPr>
            <w:tcW w:w="2268" w:type="dxa"/>
          </w:tcPr>
          <w:p w14:paraId="03836F71" w14:textId="77777777" w:rsidR="00AD706B" w:rsidRPr="00717546" w:rsidRDefault="00AD706B" w:rsidP="00A374B8">
            <w:pPr>
              <w:pStyle w:val="NoSpacing"/>
              <w:rPr>
                <w:b/>
              </w:rPr>
            </w:pPr>
            <w:r>
              <w:rPr>
                <w:b/>
              </w:rPr>
              <w:t>DSRIP-specific modifications to Measure Steward’s specification</w:t>
            </w:r>
          </w:p>
        </w:tc>
        <w:tc>
          <w:tcPr>
            <w:tcW w:w="7308" w:type="dxa"/>
            <w:gridSpan w:val="3"/>
          </w:tcPr>
          <w:p w14:paraId="03836F72" w14:textId="77777777" w:rsidR="009F78A7" w:rsidRDefault="009F78A7" w:rsidP="009F78A7">
            <w:pPr>
              <w:pStyle w:val="NoSpacing"/>
            </w:pPr>
            <w:r w:rsidRPr="00787D45">
              <w:t>The</w:t>
            </w:r>
            <w:r>
              <w:t xml:space="preserve"> Measure Steward’s specification has been modified as follows:</w:t>
            </w:r>
          </w:p>
          <w:p w14:paraId="03836F73" w14:textId="77777777" w:rsidR="006A153F" w:rsidRDefault="006A153F" w:rsidP="009F78A7">
            <w:pPr>
              <w:pStyle w:val="NoSpacing"/>
            </w:pPr>
          </w:p>
          <w:p w14:paraId="03836F74" w14:textId="6D6BF68C" w:rsidR="009F78A7" w:rsidRDefault="00DC25D3" w:rsidP="00DC25D3">
            <w:pPr>
              <w:pStyle w:val="NoSpacing"/>
              <w:numPr>
                <w:ilvl w:val="0"/>
                <w:numId w:val="9"/>
              </w:numPr>
            </w:pPr>
            <w:r>
              <w:t xml:space="preserve">Modified denominator definition to replace the </w:t>
            </w:r>
            <w:r w:rsidR="009F78A7">
              <w:t>term "</w:t>
            </w:r>
            <w:r>
              <w:t>un</w:t>
            </w:r>
            <w:r w:rsidRPr="00DC25D3">
              <w:t>duplicated number of all children enrolled in two consecutive years</w:t>
            </w:r>
            <w:r>
              <w:t xml:space="preserve">” </w:t>
            </w:r>
            <w:r w:rsidR="009F78A7">
              <w:t>with</w:t>
            </w:r>
            <w:r>
              <w:t xml:space="preserve"> </w:t>
            </w:r>
            <w:r w:rsidR="009F78A7">
              <w:t>"</w:t>
            </w:r>
            <w:r>
              <w:t>unduplicated children who had at least one dental service encounter in the 12-month period prior to the measurement period plus the unduplicated number of all children who had at least one dental service encounter in the measurement period.</w:t>
            </w:r>
            <w:r w:rsidR="009F78A7">
              <w:t>"</w:t>
            </w:r>
            <w:r w:rsidR="009F78A7" w:rsidRPr="00C619EF">
              <w:t xml:space="preserve"> </w:t>
            </w:r>
          </w:p>
          <w:p w14:paraId="03836F76" w14:textId="77777777" w:rsidR="009F78A7" w:rsidRDefault="009F78A7" w:rsidP="00DC25D3">
            <w:pPr>
              <w:pStyle w:val="NoSpacing"/>
              <w:ind w:left="720"/>
            </w:pPr>
          </w:p>
        </w:tc>
      </w:tr>
      <w:tr w:rsidR="00AD706B" w14:paraId="03836F7C" w14:textId="77777777" w:rsidTr="007F360C">
        <w:tc>
          <w:tcPr>
            <w:tcW w:w="2268" w:type="dxa"/>
          </w:tcPr>
          <w:p w14:paraId="03836F78"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308" w:type="dxa"/>
            <w:gridSpan w:val="3"/>
          </w:tcPr>
          <w:p w14:paraId="6B87C387" w14:textId="07A22A54" w:rsidR="00C22E28" w:rsidRDefault="00C22E28" w:rsidP="006A153F">
            <w:pPr>
              <w:pStyle w:val="NoSpacing"/>
            </w:pPr>
            <w:r>
              <w:t xml:space="preserve">Denominator #1: </w:t>
            </w:r>
            <w:r w:rsidR="006A153F">
              <w:t xml:space="preserve">Unduplicated number of all children who had at least one </w:t>
            </w:r>
            <w:r w:rsidR="00337BAE">
              <w:t>d</w:t>
            </w:r>
            <w:bookmarkStart w:id="0" w:name="_GoBack"/>
            <w:bookmarkEnd w:id="0"/>
            <w:r w:rsidR="00337BAE">
              <w:t xml:space="preserve">ental service </w:t>
            </w:r>
            <w:r w:rsidR="006A153F">
              <w:t xml:space="preserve">encounter </w:t>
            </w:r>
            <w:r w:rsidR="00337BAE">
              <w:t xml:space="preserve">in the 12-month period prior to the measurement period plus the </w:t>
            </w:r>
          </w:p>
          <w:p w14:paraId="0674BAF0" w14:textId="77777777" w:rsidR="00C22E28" w:rsidRDefault="00C22E28" w:rsidP="006A153F">
            <w:pPr>
              <w:pStyle w:val="NoSpacing"/>
            </w:pPr>
          </w:p>
          <w:p w14:paraId="03836F7A" w14:textId="733E7D74" w:rsidR="006A153F" w:rsidRDefault="00C22E28" w:rsidP="006A153F">
            <w:pPr>
              <w:pStyle w:val="NoSpacing"/>
            </w:pPr>
            <w:r>
              <w:t>Denominator #2: U</w:t>
            </w:r>
            <w:r>
              <w:t xml:space="preserve">nduplicated </w:t>
            </w:r>
            <w:r w:rsidR="00337BAE">
              <w:t>number of all children who had at least one dental service encounter in the measurement period.</w:t>
            </w:r>
          </w:p>
          <w:p w14:paraId="03836F7B" w14:textId="31A33077" w:rsidR="00AD706B" w:rsidRPr="009F7E66" w:rsidRDefault="00AD706B" w:rsidP="00FD600E">
            <w:pPr>
              <w:pStyle w:val="NoSpacing"/>
            </w:pPr>
          </w:p>
        </w:tc>
      </w:tr>
      <w:tr w:rsidR="00787D45" w14:paraId="03836F7F" w14:textId="77777777" w:rsidTr="007F360C">
        <w:trPr>
          <w:trHeight w:val="728"/>
        </w:trPr>
        <w:tc>
          <w:tcPr>
            <w:tcW w:w="2268" w:type="dxa"/>
          </w:tcPr>
          <w:p w14:paraId="03836F7D" w14:textId="77777777" w:rsidR="00787D45" w:rsidRPr="00717546" w:rsidRDefault="00787D45" w:rsidP="00C01E6F">
            <w:pPr>
              <w:pStyle w:val="NoSpacing"/>
              <w:rPr>
                <w:b/>
              </w:rPr>
            </w:pPr>
            <w:r>
              <w:rPr>
                <w:b/>
              </w:rPr>
              <w:t>Denominator Inclusions</w:t>
            </w:r>
          </w:p>
        </w:tc>
        <w:tc>
          <w:tcPr>
            <w:tcW w:w="7308" w:type="dxa"/>
            <w:gridSpan w:val="3"/>
          </w:tcPr>
          <w:p w14:paraId="03836F7E" w14:textId="77777777" w:rsidR="00787D45" w:rsidRPr="0012650D" w:rsidRDefault="00787D45" w:rsidP="002F15E3">
            <w:pPr>
              <w:pStyle w:val="NoSpacing"/>
              <w:rPr>
                <w:b/>
              </w:rPr>
            </w:pPr>
            <w:r>
              <w:t>The Measure Steward does not identify specific denominator inclusions beyond what is described i</w:t>
            </w:r>
            <w:r w:rsidR="006A153F">
              <w:t>n the denominator description.</w:t>
            </w:r>
          </w:p>
        </w:tc>
      </w:tr>
      <w:tr w:rsidR="00787D45" w14:paraId="03836F82" w14:textId="77777777" w:rsidTr="007F360C">
        <w:trPr>
          <w:trHeight w:val="710"/>
        </w:trPr>
        <w:tc>
          <w:tcPr>
            <w:tcW w:w="2268" w:type="dxa"/>
          </w:tcPr>
          <w:p w14:paraId="03836F80" w14:textId="77777777" w:rsidR="00787D45" w:rsidRPr="00717546" w:rsidRDefault="00787D45" w:rsidP="00C01E6F">
            <w:pPr>
              <w:pStyle w:val="NoSpacing"/>
              <w:rPr>
                <w:b/>
              </w:rPr>
            </w:pPr>
            <w:r>
              <w:rPr>
                <w:b/>
              </w:rPr>
              <w:t>Denominator Exclusions</w:t>
            </w:r>
          </w:p>
        </w:tc>
        <w:tc>
          <w:tcPr>
            <w:tcW w:w="7308" w:type="dxa"/>
            <w:gridSpan w:val="3"/>
          </w:tcPr>
          <w:p w14:paraId="03836F81" w14:textId="77777777" w:rsidR="00787D45" w:rsidRPr="001D6BEA" w:rsidRDefault="00787D45" w:rsidP="006A153F">
            <w:pPr>
              <w:pStyle w:val="NoSpacing"/>
            </w:pPr>
            <w:r>
              <w:t xml:space="preserve">The Measure Steward does not identify specific denominator exclusions beyond what is described </w:t>
            </w:r>
            <w:r w:rsidR="006A153F">
              <w:t>in the denominator description.</w:t>
            </w:r>
          </w:p>
        </w:tc>
      </w:tr>
      <w:tr w:rsidR="00D63CD3" w14:paraId="03836F88" w14:textId="77777777" w:rsidTr="007F360C">
        <w:tc>
          <w:tcPr>
            <w:tcW w:w="2268" w:type="dxa"/>
          </w:tcPr>
          <w:p w14:paraId="03836F83" w14:textId="77777777" w:rsidR="00D63CD3" w:rsidRDefault="00D63CD3" w:rsidP="00AF103E">
            <w:pPr>
              <w:pStyle w:val="NoSpacing"/>
              <w:rPr>
                <w:b/>
              </w:rPr>
            </w:pPr>
            <w:r>
              <w:rPr>
                <w:b/>
              </w:rPr>
              <w:t>Denominator Size</w:t>
            </w:r>
          </w:p>
        </w:tc>
        <w:tc>
          <w:tcPr>
            <w:tcW w:w="7308" w:type="dxa"/>
            <w:gridSpan w:val="3"/>
          </w:tcPr>
          <w:p w14:paraId="03836F84" w14:textId="5C870511"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 xml:space="preserve">12-month measurement period </w:t>
            </w:r>
          </w:p>
          <w:p w14:paraId="03836F85" w14:textId="4CD8B3F2" w:rsidR="0032246B" w:rsidRDefault="0032246B" w:rsidP="0032246B">
            <w:pPr>
              <w:pStyle w:val="NoSpacing"/>
              <w:numPr>
                <w:ilvl w:val="0"/>
                <w:numId w:val="8"/>
              </w:numPr>
            </w:pPr>
            <w:r>
              <w:t xml:space="preserve">For a measurement period </w:t>
            </w:r>
            <w:r w:rsidR="0011709A">
              <w:t xml:space="preserve">where the </w:t>
            </w:r>
            <w:r>
              <w:t>denominator size is less than or equal to 75, providers must report on all cases. No sampling is allowed.</w:t>
            </w:r>
          </w:p>
          <w:p w14:paraId="03836F86" w14:textId="2760FD5A" w:rsidR="0032246B" w:rsidRDefault="0032246B" w:rsidP="0032246B">
            <w:pPr>
              <w:pStyle w:val="NoSpacing"/>
              <w:numPr>
                <w:ilvl w:val="0"/>
                <w:numId w:val="8"/>
              </w:numPr>
            </w:pPr>
            <w:r>
              <w:t xml:space="preserve">For a measurement period </w:t>
            </w:r>
            <w:r w:rsidR="0011709A">
              <w:t xml:space="preserve">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03836F87" w14:textId="4EE44022" w:rsidR="0032246B" w:rsidRPr="001D6BEA" w:rsidRDefault="0032246B" w:rsidP="00FB0B91">
            <w:pPr>
              <w:pStyle w:val="NoSpacing"/>
              <w:numPr>
                <w:ilvl w:val="0"/>
                <w:numId w:val="8"/>
              </w:numPr>
            </w:pPr>
            <w:r>
              <w:t xml:space="preserve">For a measurement period </w:t>
            </w:r>
            <w:r w:rsidR="0011709A">
              <w:t>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w:t>
            </w:r>
            <w:r>
              <w:lastRenderedPageBreak/>
              <w:t xml:space="preserve">cases that is not less than 20% of all cases; however, providers may cap the </w:t>
            </w:r>
            <w:r w:rsidR="0011709A">
              <w:t xml:space="preserve">total </w:t>
            </w:r>
            <w:r>
              <w:t xml:space="preserve">sample size at 300 cases. </w:t>
            </w:r>
          </w:p>
        </w:tc>
      </w:tr>
      <w:tr w:rsidR="00AC3A97" w14:paraId="03836F8B" w14:textId="77777777" w:rsidTr="007F360C">
        <w:tc>
          <w:tcPr>
            <w:tcW w:w="2268" w:type="dxa"/>
          </w:tcPr>
          <w:p w14:paraId="03836F89" w14:textId="77777777" w:rsidR="00AC3A97" w:rsidRPr="00717546" w:rsidRDefault="00AC3A97" w:rsidP="00AF103E">
            <w:pPr>
              <w:pStyle w:val="NoSpacing"/>
              <w:rPr>
                <w:b/>
              </w:rPr>
            </w:pPr>
            <w:r>
              <w:rPr>
                <w:b/>
              </w:rPr>
              <w:lastRenderedPageBreak/>
              <w:t xml:space="preserve">Numerator Description </w:t>
            </w:r>
          </w:p>
        </w:tc>
        <w:tc>
          <w:tcPr>
            <w:tcW w:w="7308" w:type="dxa"/>
            <w:gridSpan w:val="3"/>
          </w:tcPr>
          <w:p w14:paraId="03836F8A" w14:textId="169302E7" w:rsidR="00AC3A97" w:rsidRPr="009F7E66" w:rsidRDefault="006A153F" w:rsidP="005F107E">
            <w:pPr>
              <w:pStyle w:val="NoSpacing"/>
            </w:pPr>
            <w:r>
              <w:t xml:space="preserve">Unduplicated number of children who visited the </w:t>
            </w:r>
            <w:r w:rsidRPr="00250BDF">
              <w:rPr>
                <w:b/>
              </w:rPr>
              <w:t>same practice or clinical entity</w:t>
            </w:r>
            <w:r>
              <w:t xml:space="preserve"> </w:t>
            </w:r>
            <w:r w:rsidR="005F107E">
              <w:t xml:space="preserve">during </w:t>
            </w:r>
            <w:r w:rsidR="00337BAE">
              <w:t>the measurement period and the 12-month period prior to the measurement period.</w:t>
            </w:r>
          </w:p>
        </w:tc>
      </w:tr>
      <w:tr w:rsidR="00787D45" w14:paraId="03836F8E" w14:textId="77777777" w:rsidTr="007F360C">
        <w:tc>
          <w:tcPr>
            <w:tcW w:w="2268" w:type="dxa"/>
          </w:tcPr>
          <w:p w14:paraId="03836F8C" w14:textId="77777777" w:rsidR="00787D45" w:rsidRPr="00717546" w:rsidRDefault="00787D45" w:rsidP="00AF103E">
            <w:pPr>
              <w:pStyle w:val="NoSpacing"/>
              <w:rPr>
                <w:b/>
              </w:rPr>
            </w:pPr>
            <w:r>
              <w:rPr>
                <w:b/>
              </w:rPr>
              <w:t>Numerator Inclusions</w:t>
            </w:r>
          </w:p>
        </w:tc>
        <w:tc>
          <w:tcPr>
            <w:tcW w:w="7308" w:type="dxa"/>
            <w:gridSpan w:val="3"/>
          </w:tcPr>
          <w:p w14:paraId="03836F8D" w14:textId="77777777" w:rsidR="00787D45" w:rsidRPr="0012650D" w:rsidRDefault="00787D45" w:rsidP="006A153F">
            <w:pPr>
              <w:pStyle w:val="NoSpacing"/>
              <w:rPr>
                <w:b/>
              </w:rPr>
            </w:pPr>
            <w:r>
              <w:t>The Measure Steward does not identify specific numerator inclusions beyond what is described</w:t>
            </w:r>
            <w:r w:rsidR="006A153F">
              <w:t xml:space="preserve"> in the numerator description.</w:t>
            </w:r>
          </w:p>
        </w:tc>
      </w:tr>
      <w:tr w:rsidR="00787D45" w14:paraId="03836F91" w14:textId="77777777" w:rsidTr="007F360C">
        <w:tc>
          <w:tcPr>
            <w:tcW w:w="2268" w:type="dxa"/>
          </w:tcPr>
          <w:p w14:paraId="03836F8F" w14:textId="77777777" w:rsidR="00787D45" w:rsidRPr="00717546" w:rsidRDefault="00787D45" w:rsidP="00AF103E">
            <w:pPr>
              <w:pStyle w:val="NoSpacing"/>
              <w:rPr>
                <w:b/>
              </w:rPr>
            </w:pPr>
            <w:r>
              <w:rPr>
                <w:b/>
              </w:rPr>
              <w:t>Numerator Exclusions</w:t>
            </w:r>
          </w:p>
        </w:tc>
        <w:tc>
          <w:tcPr>
            <w:tcW w:w="7308" w:type="dxa"/>
            <w:gridSpan w:val="3"/>
          </w:tcPr>
          <w:p w14:paraId="03836F90" w14:textId="77777777" w:rsidR="00787D45" w:rsidRPr="001D6BEA" w:rsidRDefault="00787D45" w:rsidP="002F15E3">
            <w:pPr>
              <w:pStyle w:val="NoSpacing"/>
            </w:pPr>
            <w:r>
              <w:t>The Measure Steward does not identify specific numerator exclusions beyond what is described</w:t>
            </w:r>
            <w:r w:rsidR="006A153F">
              <w:t xml:space="preserve"> in the numerator description.</w:t>
            </w:r>
          </w:p>
        </w:tc>
      </w:tr>
      <w:tr w:rsidR="00AD706B" w14:paraId="03836F94" w14:textId="77777777" w:rsidTr="007F360C">
        <w:tc>
          <w:tcPr>
            <w:tcW w:w="2268" w:type="dxa"/>
          </w:tcPr>
          <w:p w14:paraId="03836F92" w14:textId="77777777" w:rsidR="00AD706B" w:rsidRPr="00717546" w:rsidRDefault="00AD706B" w:rsidP="00A374B8">
            <w:pPr>
              <w:pStyle w:val="NoSpacing"/>
              <w:rPr>
                <w:b/>
              </w:rPr>
            </w:pPr>
            <w:r>
              <w:rPr>
                <w:b/>
              </w:rPr>
              <w:t>Setting</w:t>
            </w:r>
          </w:p>
        </w:tc>
        <w:tc>
          <w:tcPr>
            <w:tcW w:w="7308" w:type="dxa"/>
            <w:gridSpan w:val="3"/>
          </w:tcPr>
          <w:p w14:paraId="03836F93" w14:textId="77777777" w:rsidR="00AD706B" w:rsidRDefault="00AD706B" w:rsidP="006A153F">
            <w:pPr>
              <w:pStyle w:val="NoSpacing"/>
            </w:pPr>
            <w:r>
              <w:t>Ambulatory</w:t>
            </w:r>
          </w:p>
        </w:tc>
      </w:tr>
      <w:tr w:rsidR="00AD706B" w14:paraId="03836F97" w14:textId="77777777" w:rsidTr="007F360C">
        <w:tc>
          <w:tcPr>
            <w:tcW w:w="2268" w:type="dxa"/>
          </w:tcPr>
          <w:p w14:paraId="03836F95" w14:textId="77777777" w:rsidR="00AD706B" w:rsidRDefault="00AD706B" w:rsidP="00A374B8">
            <w:pPr>
              <w:pStyle w:val="NoSpacing"/>
              <w:rPr>
                <w:b/>
              </w:rPr>
            </w:pPr>
            <w:r>
              <w:rPr>
                <w:b/>
              </w:rPr>
              <w:t>Data Source</w:t>
            </w:r>
          </w:p>
        </w:tc>
        <w:tc>
          <w:tcPr>
            <w:tcW w:w="7308" w:type="dxa"/>
            <w:gridSpan w:val="3"/>
          </w:tcPr>
          <w:p w14:paraId="03836F96" w14:textId="77777777" w:rsidR="00AD706B" w:rsidRDefault="00AF3A3D" w:rsidP="00AF3A3D">
            <w:pPr>
              <w:pStyle w:val="NoSpacing"/>
            </w:pPr>
            <w:r>
              <w:t>Administ</w:t>
            </w:r>
            <w:r w:rsidR="006A153F">
              <w:t>rative/Clinical data sources</w:t>
            </w:r>
          </w:p>
        </w:tc>
      </w:tr>
      <w:tr w:rsidR="00AD706B" w14:paraId="03836FB6" w14:textId="77777777" w:rsidTr="007F360C">
        <w:tc>
          <w:tcPr>
            <w:tcW w:w="2268" w:type="dxa"/>
          </w:tcPr>
          <w:p w14:paraId="03836F98"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7308" w:type="dxa"/>
            <w:gridSpan w:val="3"/>
          </w:tcPr>
          <w:p w14:paraId="03836F99"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03836F9A" w14:textId="77777777" w:rsidR="00561D6D" w:rsidRDefault="00561D6D" w:rsidP="00A374B8">
            <w:pPr>
              <w:pStyle w:val="NoSpacing"/>
            </w:pPr>
          </w:p>
          <w:p w14:paraId="03836F9B"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03836F9C" w14:textId="77777777" w:rsidR="007F7C07" w:rsidRDefault="00416E44" w:rsidP="007F7C07">
            <w:pPr>
              <w:pStyle w:val="NoSpacing"/>
              <w:numPr>
                <w:ilvl w:val="0"/>
                <w:numId w:val="5"/>
              </w:numPr>
            </w:pPr>
            <w:r>
              <w:t>Medicaid</w:t>
            </w:r>
          </w:p>
          <w:p w14:paraId="03836F9D" w14:textId="77777777" w:rsidR="007F7C07" w:rsidRDefault="007F7C07" w:rsidP="007F7C07">
            <w:pPr>
              <w:pStyle w:val="NoSpacing"/>
              <w:numPr>
                <w:ilvl w:val="0"/>
                <w:numId w:val="5"/>
              </w:numPr>
            </w:pPr>
            <w:r>
              <w:t>Uninsured</w:t>
            </w:r>
            <w:r w:rsidR="00366D0B">
              <w:t>/Indigent</w:t>
            </w:r>
          </w:p>
          <w:p w14:paraId="03836F9E" w14:textId="77777777" w:rsidR="00366D0B" w:rsidRDefault="00366D0B" w:rsidP="007F7C07">
            <w:pPr>
              <w:pStyle w:val="NoSpacing"/>
              <w:numPr>
                <w:ilvl w:val="0"/>
                <w:numId w:val="5"/>
              </w:numPr>
            </w:pPr>
            <w:r>
              <w:t>Both: Medicaid and Uninsured/Indigent</w:t>
            </w:r>
          </w:p>
          <w:p w14:paraId="03836F9F" w14:textId="77777777" w:rsidR="000E7EED" w:rsidRDefault="000E7EED" w:rsidP="00A374B8">
            <w:pPr>
              <w:pStyle w:val="NoSpacing"/>
            </w:pPr>
          </w:p>
          <w:p w14:paraId="03836FA0"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03836FA1" w14:textId="77777777" w:rsidR="007F7C07" w:rsidRDefault="007F7C07" w:rsidP="007F7C07">
            <w:pPr>
              <w:pStyle w:val="NoSpacing"/>
              <w:numPr>
                <w:ilvl w:val="0"/>
                <w:numId w:val="6"/>
              </w:numPr>
            </w:pPr>
            <w:r>
              <w:t>Male</w:t>
            </w:r>
          </w:p>
          <w:p w14:paraId="03836FA2" w14:textId="77777777" w:rsidR="007F7C07" w:rsidRDefault="007F7C07" w:rsidP="007F7C07">
            <w:pPr>
              <w:pStyle w:val="NoSpacing"/>
              <w:numPr>
                <w:ilvl w:val="0"/>
                <w:numId w:val="6"/>
              </w:numPr>
            </w:pPr>
            <w:r>
              <w:t>Female</w:t>
            </w:r>
          </w:p>
          <w:p w14:paraId="03836FA3" w14:textId="77777777" w:rsidR="007F7C07" w:rsidRDefault="007F7C07" w:rsidP="00CA4C08">
            <w:pPr>
              <w:pStyle w:val="NoSpacing"/>
            </w:pPr>
          </w:p>
          <w:p w14:paraId="03836FA4"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03836FA5" w14:textId="77777777" w:rsidR="007F7C07" w:rsidRDefault="007F7C07" w:rsidP="007F7C07">
            <w:pPr>
              <w:pStyle w:val="NoSpacing"/>
              <w:numPr>
                <w:ilvl w:val="0"/>
                <w:numId w:val="7"/>
              </w:numPr>
            </w:pPr>
            <w:r>
              <w:t>White/Caucasian</w:t>
            </w:r>
          </w:p>
          <w:p w14:paraId="03836FA6" w14:textId="77777777" w:rsidR="007F7C07" w:rsidRDefault="007F7C07" w:rsidP="007F7C07">
            <w:pPr>
              <w:pStyle w:val="NoSpacing"/>
              <w:numPr>
                <w:ilvl w:val="0"/>
                <w:numId w:val="7"/>
              </w:numPr>
            </w:pPr>
            <w:r>
              <w:t>Black/African American</w:t>
            </w:r>
          </w:p>
          <w:p w14:paraId="03836FA7" w14:textId="77777777" w:rsidR="007F7C07" w:rsidRDefault="007F7C07" w:rsidP="007F7C07">
            <w:pPr>
              <w:pStyle w:val="NoSpacing"/>
              <w:numPr>
                <w:ilvl w:val="0"/>
                <w:numId w:val="7"/>
              </w:numPr>
            </w:pPr>
            <w:r>
              <w:t>Latino/Hispanic</w:t>
            </w:r>
          </w:p>
          <w:p w14:paraId="03836FA8" w14:textId="77777777" w:rsidR="007F7C07" w:rsidRDefault="007F7C07" w:rsidP="007F7C07">
            <w:pPr>
              <w:pStyle w:val="NoSpacing"/>
              <w:numPr>
                <w:ilvl w:val="0"/>
                <w:numId w:val="7"/>
              </w:numPr>
            </w:pPr>
            <w:r>
              <w:t>Asian</w:t>
            </w:r>
          </w:p>
          <w:p w14:paraId="03836FA9" w14:textId="77777777" w:rsidR="007F7C07" w:rsidRDefault="007F7C07" w:rsidP="007F7C07">
            <w:pPr>
              <w:pStyle w:val="NoSpacing"/>
              <w:numPr>
                <w:ilvl w:val="0"/>
                <w:numId w:val="7"/>
              </w:numPr>
            </w:pPr>
            <w:r>
              <w:t>American Indian/Alaskan Native</w:t>
            </w:r>
          </w:p>
          <w:p w14:paraId="03836FAA" w14:textId="77777777" w:rsidR="007F7C07" w:rsidRDefault="007F7C07" w:rsidP="007F7C07">
            <w:pPr>
              <w:pStyle w:val="NoSpacing"/>
              <w:numPr>
                <w:ilvl w:val="0"/>
                <w:numId w:val="7"/>
              </w:numPr>
            </w:pPr>
            <w:r>
              <w:t>Native Hawaiian/Other Pacific Islander</w:t>
            </w:r>
          </w:p>
          <w:p w14:paraId="03836FAB" w14:textId="77777777" w:rsidR="007F7C07" w:rsidRDefault="007F7C07" w:rsidP="00CA4C08">
            <w:pPr>
              <w:pStyle w:val="NoSpacing"/>
            </w:pPr>
          </w:p>
          <w:p w14:paraId="03836FAC" w14:textId="77777777" w:rsidR="007F7C07" w:rsidRDefault="007F7C07" w:rsidP="00CA4C08">
            <w:pPr>
              <w:pStyle w:val="NoSpacing"/>
            </w:pPr>
            <w:r w:rsidRPr="007F7C07">
              <w:rPr>
                <w:b/>
              </w:rPr>
              <w:t>Age:</w:t>
            </w:r>
            <w:r>
              <w:t xml:space="preserve"> Providers may define the denominator population such that it is limited to an age range:</w:t>
            </w:r>
          </w:p>
          <w:p w14:paraId="03836FAD" w14:textId="77777777" w:rsidR="007F7C07" w:rsidRDefault="007F7C07" w:rsidP="007F7C07">
            <w:pPr>
              <w:pStyle w:val="NoSpacing"/>
              <w:ind w:left="720"/>
            </w:pPr>
            <w:r>
              <w:t>Lower Bound: ____ (Provider defined)</w:t>
            </w:r>
          </w:p>
          <w:p w14:paraId="03836FAE" w14:textId="77777777" w:rsidR="007F7C07" w:rsidRDefault="007F7C07" w:rsidP="007F7C07">
            <w:pPr>
              <w:pStyle w:val="NoSpacing"/>
              <w:ind w:left="720"/>
            </w:pPr>
            <w:r>
              <w:t>Upper Bound: ____ (Provider defined)</w:t>
            </w:r>
          </w:p>
          <w:p w14:paraId="03836FAF" w14:textId="77777777" w:rsidR="00CA4C08" w:rsidRDefault="00CA4C08" w:rsidP="00CA4C08">
            <w:pPr>
              <w:pStyle w:val="NoSpacing"/>
            </w:pPr>
          </w:p>
          <w:p w14:paraId="1F7422C8" w14:textId="42A25A38" w:rsidR="00FB0B91" w:rsidRDefault="007F7C07" w:rsidP="00FB0B91">
            <w:pPr>
              <w:pStyle w:val="NoSpacing"/>
            </w:pPr>
            <w:r>
              <w:rPr>
                <w:b/>
              </w:rPr>
              <w:t>Comorbid Condition</w:t>
            </w:r>
            <w:r w:rsidRPr="007F7C07">
              <w:rPr>
                <w:b/>
              </w:rPr>
              <w:t>:</w:t>
            </w:r>
            <w:r>
              <w:t xml:space="preserve"> </w:t>
            </w:r>
            <w:r w:rsidR="00FB0B91">
              <w:t xml:space="preserve"> Providers may define the denominator population such that it is limited to individuals with one or more comorbid conditions:</w:t>
            </w:r>
          </w:p>
          <w:p w14:paraId="03836FB0" w14:textId="2BFFE1CE" w:rsidR="007F7C07" w:rsidRDefault="007F7C07" w:rsidP="007F7C07">
            <w:pPr>
              <w:pStyle w:val="NoSpacing"/>
            </w:pPr>
          </w:p>
          <w:p w14:paraId="03836FB1" w14:textId="77777777" w:rsidR="007F7C07" w:rsidRDefault="007F7C07" w:rsidP="00A82574">
            <w:pPr>
              <w:pStyle w:val="NoSpacing"/>
              <w:ind w:left="720"/>
            </w:pPr>
            <w:r>
              <w:t>Comorbid condition: ______________ (Provider defined)</w:t>
            </w:r>
          </w:p>
          <w:p w14:paraId="03836FB2" w14:textId="77777777" w:rsidR="007F7C07" w:rsidRDefault="007F7C07" w:rsidP="00CA4C08">
            <w:pPr>
              <w:pStyle w:val="NoSpacing"/>
            </w:pPr>
          </w:p>
          <w:p w14:paraId="03836FB3" w14:textId="77777777" w:rsidR="007F7C07" w:rsidRDefault="007F7C07" w:rsidP="00CA4C08">
            <w:pPr>
              <w:pStyle w:val="NoSpacing"/>
            </w:pPr>
            <w:r w:rsidRPr="007F7C07">
              <w:rPr>
                <w:b/>
              </w:rPr>
              <w:lastRenderedPageBreak/>
              <w:t>Setting/Location:</w:t>
            </w:r>
            <w:r>
              <w:t xml:space="preserve"> Providers may define the denominator population such that it is limited to individuals receiving services in a specific setting or service delivery location(s).</w:t>
            </w:r>
          </w:p>
          <w:p w14:paraId="03836FB4" w14:textId="77777777" w:rsidR="007F7C07" w:rsidRDefault="007F7C07" w:rsidP="00A82574">
            <w:pPr>
              <w:pStyle w:val="NoSpacing"/>
              <w:ind w:left="720"/>
            </w:pPr>
            <w:r>
              <w:t xml:space="preserve">Service Setting/Delivery Location(s): ______________ (Provider defined) </w:t>
            </w:r>
          </w:p>
          <w:p w14:paraId="03836FB5" w14:textId="77777777" w:rsidR="00F927B0" w:rsidRDefault="00CA4C08" w:rsidP="007F7C07">
            <w:pPr>
              <w:pStyle w:val="NoSpacing"/>
            </w:pPr>
            <w:r>
              <w:t> </w:t>
            </w:r>
          </w:p>
        </w:tc>
      </w:tr>
      <w:tr w:rsidR="00AD706B" w14:paraId="03836FBE" w14:textId="77777777" w:rsidTr="00FD600E">
        <w:tc>
          <w:tcPr>
            <w:tcW w:w="2268" w:type="dxa"/>
          </w:tcPr>
          <w:p w14:paraId="03836FB7" w14:textId="77777777" w:rsidR="00AD706B" w:rsidRDefault="00AD706B" w:rsidP="00A374B8">
            <w:pPr>
              <w:pStyle w:val="NoSpacing"/>
              <w:rPr>
                <w:b/>
              </w:rPr>
            </w:pPr>
            <w:r>
              <w:rPr>
                <w:b/>
              </w:rPr>
              <w:lastRenderedPageBreak/>
              <w:t>Demonstration Years</w:t>
            </w:r>
          </w:p>
        </w:tc>
        <w:tc>
          <w:tcPr>
            <w:tcW w:w="2436" w:type="dxa"/>
            <w:shd w:val="clear" w:color="auto" w:fill="D9D9D9" w:themeFill="background1" w:themeFillShade="D9"/>
          </w:tcPr>
          <w:p w14:paraId="03836FB8" w14:textId="77777777" w:rsidR="00AD706B" w:rsidRPr="0031250D" w:rsidRDefault="00AD706B" w:rsidP="00A374B8">
            <w:pPr>
              <w:pStyle w:val="NoSpacing"/>
              <w:jc w:val="center"/>
              <w:rPr>
                <w:b/>
              </w:rPr>
            </w:pPr>
            <w:r w:rsidRPr="0031250D">
              <w:rPr>
                <w:b/>
              </w:rPr>
              <w:t>DY3</w:t>
            </w:r>
          </w:p>
          <w:p w14:paraId="03836FB9"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436" w:type="dxa"/>
            <w:shd w:val="clear" w:color="auto" w:fill="D9D9D9" w:themeFill="background1" w:themeFillShade="D9"/>
          </w:tcPr>
          <w:p w14:paraId="03836FBA" w14:textId="77777777" w:rsidR="00AD706B" w:rsidRPr="0031250D" w:rsidRDefault="00AD706B" w:rsidP="00A374B8">
            <w:pPr>
              <w:pStyle w:val="NoSpacing"/>
              <w:jc w:val="center"/>
              <w:rPr>
                <w:b/>
              </w:rPr>
            </w:pPr>
            <w:r w:rsidRPr="0031250D">
              <w:rPr>
                <w:b/>
              </w:rPr>
              <w:t>DY4</w:t>
            </w:r>
          </w:p>
          <w:p w14:paraId="03836FBB"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436" w:type="dxa"/>
            <w:shd w:val="clear" w:color="auto" w:fill="D9D9D9" w:themeFill="background1" w:themeFillShade="D9"/>
          </w:tcPr>
          <w:p w14:paraId="03836FBC" w14:textId="77777777" w:rsidR="00AD706B" w:rsidRPr="0031250D" w:rsidRDefault="00AD706B" w:rsidP="00A374B8">
            <w:pPr>
              <w:pStyle w:val="NoSpacing"/>
              <w:jc w:val="center"/>
              <w:rPr>
                <w:b/>
              </w:rPr>
            </w:pPr>
            <w:r w:rsidRPr="0031250D">
              <w:rPr>
                <w:b/>
              </w:rPr>
              <w:t>DY5</w:t>
            </w:r>
          </w:p>
          <w:p w14:paraId="03836FBD"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03836FD0" w14:textId="77777777" w:rsidTr="00FD600E">
        <w:tc>
          <w:tcPr>
            <w:tcW w:w="2268" w:type="dxa"/>
          </w:tcPr>
          <w:p w14:paraId="03836FBF" w14:textId="77777777" w:rsidR="00AD706B" w:rsidRDefault="00AD706B" w:rsidP="00A374B8">
            <w:pPr>
              <w:pStyle w:val="NoSpacing"/>
              <w:rPr>
                <w:b/>
              </w:rPr>
            </w:pPr>
            <w:r>
              <w:rPr>
                <w:b/>
              </w:rPr>
              <w:t>Measurement Periods</w:t>
            </w:r>
          </w:p>
          <w:p w14:paraId="03836FC0" w14:textId="77777777" w:rsidR="007C728B" w:rsidRDefault="007C728B" w:rsidP="00A374B8">
            <w:pPr>
              <w:pStyle w:val="NoSpacing"/>
              <w:rPr>
                <w:b/>
              </w:rPr>
            </w:pPr>
          </w:p>
          <w:p w14:paraId="03836FC1"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436" w:type="dxa"/>
          </w:tcPr>
          <w:p w14:paraId="3F84CCD7" w14:textId="77777777" w:rsidR="00FD600E" w:rsidRDefault="00FD600E" w:rsidP="00FD600E">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64B31F42" w14:textId="77777777" w:rsidR="00FD600E" w:rsidRDefault="00FD600E" w:rsidP="00FD600E">
            <w:pPr>
              <w:pStyle w:val="NoSpacing"/>
            </w:pPr>
            <w:r>
              <w:rPr>
                <w:u w:val="single"/>
              </w:rPr>
              <w:t>12 Month Period</w:t>
            </w:r>
            <w:r>
              <w:t xml:space="preserve">: </w:t>
            </w:r>
          </w:p>
          <w:p w14:paraId="46C307EF" w14:textId="77777777" w:rsidR="00FD600E" w:rsidRDefault="00FD600E" w:rsidP="00FD600E">
            <w:pPr>
              <w:pStyle w:val="NoSpacing"/>
              <w:numPr>
                <w:ilvl w:val="0"/>
                <w:numId w:val="10"/>
              </w:numPr>
              <w:ind w:left="504"/>
            </w:pPr>
            <w:r>
              <w:t xml:space="preserve">10/01/13 – 09/30/14, or </w:t>
            </w:r>
          </w:p>
          <w:p w14:paraId="43143750" w14:textId="77777777" w:rsidR="00FD600E" w:rsidRDefault="00FD600E" w:rsidP="00FD600E">
            <w:pPr>
              <w:pStyle w:val="NoSpacing"/>
              <w:numPr>
                <w:ilvl w:val="0"/>
                <w:numId w:val="10"/>
              </w:numPr>
              <w:ind w:left="504"/>
            </w:pPr>
            <w:r>
              <w:t>09/01/13 – 08/31/14, or</w:t>
            </w:r>
          </w:p>
          <w:p w14:paraId="799AC995" w14:textId="77777777" w:rsidR="00FD600E" w:rsidRDefault="00FD600E" w:rsidP="00FD600E">
            <w:pPr>
              <w:pStyle w:val="NoSpacing"/>
              <w:numPr>
                <w:ilvl w:val="0"/>
                <w:numId w:val="10"/>
              </w:numPr>
              <w:ind w:left="504"/>
            </w:pPr>
            <w:r>
              <w:t>01/01/13 – 12/31/13, or</w:t>
            </w:r>
          </w:p>
          <w:p w14:paraId="42344AF2" w14:textId="77777777" w:rsidR="00FD600E" w:rsidRDefault="00FD600E" w:rsidP="00FD600E">
            <w:pPr>
              <w:pStyle w:val="NoSpacing"/>
              <w:numPr>
                <w:ilvl w:val="0"/>
                <w:numId w:val="10"/>
              </w:numPr>
              <w:ind w:left="504"/>
            </w:pPr>
            <w:r>
              <w:t>10/01/12 – 09/30/13, or</w:t>
            </w:r>
          </w:p>
          <w:p w14:paraId="6B2BFC74" w14:textId="77777777" w:rsidR="00FD600E" w:rsidRDefault="00FD600E" w:rsidP="00FD600E">
            <w:pPr>
              <w:pStyle w:val="NoSpacing"/>
              <w:numPr>
                <w:ilvl w:val="0"/>
                <w:numId w:val="10"/>
              </w:numPr>
              <w:ind w:left="504"/>
            </w:pPr>
            <w:r>
              <w:t>09/01/12 – 08/31/13</w:t>
            </w:r>
          </w:p>
          <w:p w14:paraId="1180E67B" w14:textId="77777777" w:rsidR="00FD600E" w:rsidRDefault="00FD600E" w:rsidP="00FD600E">
            <w:pPr>
              <w:pStyle w:val="NoSpacing"/>
            </w:pPr>
            <w:r>
              <w:rPr>
                <w:u w:val="single"/>
              </w:rPr>
              <w:t>6 Month Period</w:t>
            </w:r>
            <w:r>
              <w:t xml:space="preserve">: </w:t>
            </w:r>
          </w:p>
          <w:p w14:paraId="1916A539" w14:textId="77777777" w:rsidR="00FD600E" w:rsidRDefault="00FD600E" w:rsidP="00FD600E">
            <w:pPr>
              <w:pStyle w:val="NoSpacing"/>
              <w:numPr>
                <w:ilvl w:val="0"/>
                <w:numId w:val="11"/>
              </w:numPr>
              <w:ind w:left="504"/>
            </w:pPr>
            <w:r>
              <w:t>04/01/14 – 09/30/14, or</w:t>
            </w:r>
          </w:p>
          <w:p w14:paraId="14CD3973" w14:textId="77777777" w:rsidR="00FD600E" w:rsidRDefault="00FD600E" w:rsidP="00FD600E">
            <w:pPr>
              <w:pStyle w:val="NoSpacing"/>
              <w:numPr>
                <w:ilvl w:val="0"/>
                <w:numId w:val="11"/>
              </w:numPr>
              <w:ind w:left="504"/>
            </w:pPr>
            <w:r>
              <w:t>03/01/13 – 08/31/14, or</w:t>
            </w:r>
          </w:p>
          <w:p w14:paraId="2021BE08" w14:textId="77777777" w:rsidR="00FD600E" w:rsidRDefault="00FD600E" w:rsidP="00FD600E">
            <w:pPr>
              <w:pStyle w:val="NoSpacing"/>
              <w:numPr>
                <w:ilvl w:val="0"/>
                <w:numId w:val="11"/>
              </w:numPr>
              <w:ind w:left="504"/>
            </w:pPr>
            <w:r>
              <w:t>01/01/13 – 06/30/13, or</w:t>
            </w:r>
          </w:p>
          <w:p w14:paraId="4983F6CC" w14:textId="77777777" w:rsidR="00FD600E" w:rsidRDefault="00FD600E" w:rsidP="00FD600E">
            <w:pPr>
              <w:pStyle w:val="NoSpacing"/>
              <w:numPr>
                <w:ilvl w:val="0"/>
                <w:numId w:val="11"/>
              </w:numPr>
              <w:ind w:left="504"/>
            </w:pPr>
            <w:r>
              <w:t>07/01/13 – 12/31/13</w:t>
            </w:r>
          </w:p>
          <w:p w14:paraId="03836FC8" w14:textId="669FCB4C" w:rsidR="00886E0E" w:rsidRDefault="00FD600E" w:rsidP="00FD600E">
            <w:pPr>
              <w:pStyle w:val="NoSpacing"/>
            </w:pPr>
            <w:r>
              <w:rPr>
                <w:u w:val="single"/>
              </w:rPr>
              <w:t>Other</w:t>
            </w:r>
            <w:r>
              <w:t>: Providers specify/propose an alternative 6 or 12 month time period to be reviewed and approved by HHSC.</w:t>
            </w:r>
          </w:p>
          <w:p w14:paraId="03836FC9" w14:textId="77777777" w:rsidR="00F05C01" w:rsidRDefault="00F05C01" w:rsidP="00886E0E">
            <w:pPr>
              <w:pStyle w:val="NoSpacing"/>
            </w:pPr>
          </w:p>
        </w:tc>
        <w:tc>
          <w:tcPr>
            <w:tcW w:w="2436" w:type="dxa"/>
          </w:tcPr>
          <w:p w14:paraId="03836FCA" w14:textId="77777777" w:rsidR="00743628" w:rsidRDefault="00886E0E" w:rsidP="00886E0E">
            <w:pPr>
              <w:pStyle w:val="NoSpacing"/>
              <w:rPr>
                <w:b/>
              </w:rPr>
            </w:pPr>
            <w:r>
              <w:rPr>
                <w:b/>
              </w:rPr>
              <w:t>Providers</w:t>
            </w:r>
            <w:r w:rsidR="00743628">
              <w:rPr>
                <w:b/>
              </w:rPr>
              <w:t xml:space="preserve"> must report data across a 12-month time period that meets the following parameters:</w:t>
            </w:r>
          </w:p>
          <w:p w14:paraId="03836FCB"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03836FCC"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436" w:type="dxa"/>
          </w:tcPr>
          <w:p w14:paraId="03836FCD" w14:textId="77777777" w:rsidR="00743628" w:rsidRDefault="00743628" w:rsidP="00743628">
            <w:pPr>
              <w:pStyle w:val="NoSpacing"/>
              <w:rPr>
                <w:b/>
              </w:rPr>
            </w:pPr>
            <w:r>
              <w:rPr>
                <w:b/>
              </w:rPr>
              <w:t>Providers must report data across a 12-month time period that meets the following parameters:</w:t>
            </w:r>
          </w:p>
          <w:p w14:paraId="03836FCE"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03836FCF"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03836FD7" w14:textId="77777777" w:rsidTr="00FD600E">
        <w:tc>
          <w:tcPr>
            <w:tcW w:w="2268" w:type="dxa"/>
          </w:tcPr>
          <w:p w14:paraId="03836FD1" w14:textId="77777777" w:rsidR="00AD706B" w:rsidRDefault="00AD706B" w:rsidP="00A374B8">
            <w:pPr>
              <w:pStyle w:val="NoSpacing"/>
              <w:rPr>
                <w:b/>
              </w:rPr>
            </w:pPr>
            <w:r>
              <w:rPr>
                <w:b/>
              </w:rPr>
              <w:t>Reporting Opportunities to HHSC</w:t>
            </w:r>
          </w:p>
        </w:tc>
        <w:tc>
          <w:tcPr>
            <w:tcW w:w="2436" w:type="dxa"/>
          </w:tcPr>
          <w:p w14:paraId="03836FD2" w14:textId="77777777" w:rsidR="00AD706B" w:rsidRDefault="00AD706B" w:rsidP="00A374B8">
            <w:pPr>
              <w:pStyle w:val="NoSpacing"/>
              <w:jc w:val="center"/>
            </w:pPr>
            <w:r w:rsidRPr="00135F3A">
              <w:t>10</w:t>
            </w:r>
            <w:r>
              <w:t>/31/2014</w:t>
            </w:r>
          </w:p>
        </w:tc>
        <w:tc>
          <w:tcPr>
            <w:tcW w:w="2436" w:type="dxa"/>
          </w:tcPr>
          <w:p w14:paraId="03836FD3" w14:textId="77777777" w:rsidR="00AD706B" w:rsidRPr="00135F3A" w:rsidRDefault="00AD706B" w:rsidP="00A374B8">
            <w:pPr>
              <w:pStyle w:val="NoSpacing"/>
              <w:jc w:val="center"/>
            </w:pPr>
            <w:r w:rsidRPr="00135F3A">
              <w:t>4/30/2015</w:t>
            </w:r>
          </w:p>
          <w:p w14:paraId="03836FD4" w14:textId="77777777" w:rsidR="00AD706B" w:rsidRPr="00AC6074" w:rsidRDefault="00AD706B" w:rsidP="00A374B8">
            <w:pPr>
              <w:pStyle w:val="NoSpacing"/>
              <w:jc w:val="center"/>
              <w:rPr>
                <w:b/>
              </w:rPr>
            </w:pPr>
            <w:r w:rsidRPr="00135F3A">
              <w:t>10/31/2015</w:t>
            </w:r>
          </w:p>
        </w:tc>
        <w:tc>
          <w:tcPr>
            <w:tcW w:w="2436" w:type="dxa"/>
          </w:tcPr>
          <w:p w14:paraId="03836FD5" w14:textId="77777777" w:rsidR="00AD706B" w:rsidRPr="00135F3A" w:rsidRDefault="00AD706B" w:rsidP="00A374B8">
            <w:pPr>
              <w:pStyle w:val="NoSpacing"/>
              <w:jc w:val="center"/>
            </w:pPr>
            <w:r w:rsidRPr="00135F3A">
              <w:t>4/30/2016</w:t>
            </w:r>
          </w:p>
          <w:p w14:paraId="03836FD6" w14:textId="77777777" w:rsidR="00AD706B" w:rsidRDefault="00AD706B" w:rsidP="00A374B8">
            <w:pPr>
              <w:pStyle w:val="NoSpacing"/>
              <w:jc w:val="center"/>
              <w:rPr>
                <w:b/>
              </w:rPr>
            </w:pPr>
            <w:r w:rsidRPr="00135F3A">
              <w:t>10/31/2016</w:t>
            </w:r>
          </w:p>
        </w:tc>
      </w:tr>
      <w:tr w:rsidR="000D1199" w14:paraId="03836FDF" w14:textId="77777777" w:rsidTr="00FD600E">
        <w:tc>
          <w:tcPr>
            <w:tcW w:w="2268" w:type="dxa"/>
          </w:tcPr>
          <w:p w14:paraId="03836FD8" w14:textId="77777777" w:rsidR="000D1199" w:rsidRDefault="000D1199" w:rsidP="000D1199">
            <w:pPr>
              <w:pStyle w:val="NoSpacing"/>
              <w:rPr>
                <w:b/>
              </w:rPr>
            </w:pPr>
            <w:r>
              <w:rPr>
                <w:b/>
              </w:rPr>
              <w:t>Pay for Performance Target Methodology</w:t>
            </w:r>
          </w:p>
          <w:p w14:paraId="03836FD9" w14:textId="77777777" w:rsidR="000D1199" w:rsidRDefault="000D1199" w:rsidP="000D1199">
            <w:pPr>
              <w:pStyle w:val="NoSpacing"/>
              <w:rPr>
                <w:b/>
              </w:rPr>
            </w:pPr>
          </w:p>
          <w:p w14:paraId="03836FDB" w14:textId="77777777" w:rsidR="000D1199" w:rsidRPr="000D1199" w:rsidRDefault="000D1199" w:rsidP="00FB0B91">
            <w:pPr>
              <w:pStyle w:val="NoSpacing"/>
            </w:pPr>
          </w:p>
        </w:tc>
        <w:tc>
          <w:tcPr>
            <w:tcW w:w="2436" w:type="dxa"/>
          </w:tcPr>
          <w:p w14:paraId="03836FDC" w14:textId="77777777" w:rsidR="000D1199" w:rsidRDefault="000D1199" w:rsidP="000D1199">
            <w:pPr>
              <w:pStyle w:val="NoSpacing"/>
            </w:pPr>
            <w:r>
              <w:t>Not Applicable</w:t>
            </w:r>
          </w:p>
        </w:tc>
        <w:tc>
          <w:tcPr>
            <w:tcW w:w="2436" w:type="dxa"/>
          </w:tcPr>
          <w:p w14:paraId="03836FDD" w14:textId="77777777" w:rsidR="000D1199" w:rsidRDefault="00E93422" w:rsidP="000D1199">
            <w:pPr>
              <w:pStyle w:val="NoSpacing"/>
            </w:pPr>
            <w:r>
              <w:t>Improvement Over Self</w:t>
            </w:r>
          </w:p>
        </w:tc>
        <w:tc>
          <w:tcPr>
            <w:tcW w:w="2436" w:type="dxa"/>
          </w:tcPr>
          <w:p w14:paraId="03836FDE" w14:textId="77777777" w:rsidR="000D1199" w:rsidRDefault="006A153F" w:rsidP="000D1199">
            <w:pPr>
              <w:pStyle w:val="NoSpacing"/>
            </w:pPr>
            <w:r>
              <w:t>Improvement Over Self</w:t>
            </w:r>
          </w:p>
        </w:tc>
      </w:tr>
    </w:tbl>
    <w:p w14:paraId="03837000"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7006" w14:textId="77777777" w:rsidR="00B7257A" w:rsidRDefault="00B7257A" w:rsidP="00F63191">
      <w:pPr>
        <w:spacing w:after="0" w:line="240" w:lineRule="auto"/>
      </w:pPr>
      <w:r>
        <w:separator/>
      </w:r>
    </w:p>
  </w:endnote>
  <w:endnote w:type="continuationSeparator" w:id="0">
    <w:p w14:paraId="03837007" w14:textId="77777777" w:rsidR="00B7257A" w:rsidRDefault="00B7257A"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03837009" w14:textId="77777777" w:rsidR="002E14AF" w:rsidRDefault="002E14AF">
        <w:pPr>
          <w:pStyle w:val="Footer"/>
          <w:jc w:val="right"/>
        </w:pPr>
        <w:r>
          <w:fldChar w:fldCharType="begin"/>
        </w:r>
        <w:r>
          <w:instrText xml:space="preserve"> PAGE   \* MERGEFORMAT </w:instrText>
        </w:r>
        <w:r>
          <w:fldChar w:fldCharType="separate"/>
        </w:r>
        <w:r w:rsidR="00C22E28">
          <w:rPr>
            <w:noProof/>
          </w:rPr>
          <w:t>1</w:t>
        </w:r>
        <w:r>
          <w:rPr>
            <w:noProof/>
          </w:rPr>
          <w:fldChar w:fldCharType="end"/>
        </w:r>
      </w:p>
    </w:sdtContent>
  </w:sdt>
  <w:p w14:paraId="0383700A"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37004" w14:textId="77777777" w:rsidR="00B7257A" w:rsidRDefault="00B7257A" w:rsidP="00F63191">
      <w:pPr>
        <w:spacing w:after="0" w:line="240" w:lineRule="auto"/>
      </w:pPr>
      <w:r>
        <w:separator/>
      </w:r>
    </w:p>
  </w:footnote>
  <w:footnote w:type="continuationSeparator" w:id="0">
    <w:p w14:paraId="03837005" w14:textId="77777777" w:rsidR="00B7257A" w:rsidRDefault="00B7257A"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37008" w14:textId="3860141C"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C575F"/>
    <w:rsid w:val="000D1199"/>
    <w:rsid w:val="000D5A2D"/>
    <w:rsid w:val="000E7EED"/>
    <w:rsid w:val="00100A2F"/>
    <w:rsid w:val="00107C1A"/>
    <w:rsid w:val="0011709A"/>
    <w:rsid w:val="00165D76"/>
    <w:rsid w:val="001D6BEA"/>
    <w:rsid w:val="002224F0"/>
    <w:rsid w:val="00245754"/>
    <w:rsid w:val="00250BDF"/>
    <w:rsid w:val="00271E53"/>
    <w:rsid w:val="002845C2"/>
    <w:rsid w:val="002E14AF"/>
    <w:rsid w:val="002E577B"/>
    <w:rsid w:val="0032246B"/>
    <w:rsid w:val="00337BAE"/>
    <w:rsid w:val="00346B8D"/>
    <w:rsid w:val="00356CF4"/>
    <w:rsid w:val="00366D0B"/>
    <w:rsid w:val="00375652"/>
    <w:rsid w:val="00377E1C"/>
    <w:rsid w:val="00383516"/>
    <w:rsid w:val="003844DB"/>
    <w:rsid w:val="003A409E"/>
    <w:rsid w:val="003F4E8D"/>
    <w:rsid w:val="00416E44"/>
    <w:rsid w:val="00502BE4"/>
    <w:rsid w:val="00506BC5"/>
    <w:rsid w:val="00536799"/>
    <w:rsid w:val="00561D6D"/>
    <w:rsid w:val="005802A0"/>
    <w:rsid w:val="005857E6"/>
    <w:rsid w:val="005B79DD"/>
    <w:rsid w:val="005C70A1"/>
    <w:rsid w:val="005F107E"/>
    <w:rsid w:val="005F4D43"/>
    <w:rsid w:val="0064118D"/>
    <w:rsid w:val="006A153F"/>
    <w:rsid w:val="007164C7"/>
    <w:rsid w:val="00743628"/>
    <w:rsid w:val="00760D27"/>
    <w:rsid w:val="00787D45"/>
    <w:rsid w:val="007A062D"/>
    <w:rsid w:val="007C728B"/>
    <w:rsid w:val="007C7C85"/>
    <w:rsid w:val="007E0395"/>
    <w:rsid w:val="007F360C"/>
    <w:rsid w:val="007F675B"/>
    <w:rsid w:val="007F7C07"/>
    <w:rsid w:val="00823868"/>
    <w:rsid w:val="00827557"/>
    <w:rsid w:val="008722BB"/>
    <w:rsid w:val="008779F5"/>
    <w:rsid w:val="0088642E"/>
    <w:rsid w:val="00886E0E"/>
    <w:rsid w:val="008A5405"/>
    <w:rsid w:val="008D1A8E"/>
    <w:rsid w:val="008D7F3C"/>
    <w:rsid w:val="008F0411"/>
    <w:rsid w:val="008F249E"/>
    <w:rsid w:val="00965A2A"/>
    <w:rsid w:val="00967948"/>
    <w:rsid w:val="00994A41"/>
    <w:rsid w:val="00996DD5"/>
    <w:rsid w:val="009C6EA3"/>
    <w:rsid w:val="009F04D0"/>
    <w:rsid w:val="009F78A7"/>
    <w:rsid w:val="009F7E66"/>
    <w:rsid w:val="00A11BD9"/>
    <w:rsid w:val="00A82574"/>
    <w:rsid w:val="00AC3A97"/>
    <w:rsid w:val="00AD706B"/>
    <w:rsid w:val="00AD77D4"/>
    <w:rsid w:val="00AF3A3D"/>
    <w:rsid w:val="00B05CBF"/>
    <w:rsid w:val="00B20462"/>
    <w:rsid w:val="00B546CF"/>
    <w:rsid w:val="00B65D92"/>
    <w:rsid w:val="00B7257A"/>
    <w:rsid w:val="00B81163"/>
    <w:rsid w:val="00BA61F1"/>
    <w:rsid w:val="00BC4643"/>
    <w:rsid w:val="00C01E6F"/>
    <w:rsid w:val="00C22E28"/>
    <w:rsid w:val="00C86C48"/>
    <w:rsid w:val="00C9758A"/>
    <w:rsid w:val="00CA2D3E"/>
    <w:rsid w:val="00CA4C08"/>
    <w:rsid w:val="00CC28BC"/>
    <w:rsid w:val="00CD7069"/>
    <w:rsid w:val="00D1777E"/>
    <w:rsid w:val="00D63CD3"/>
    <w:rsid w:val="00DB7651"/>
    <w:rsid w:val="00DC25D3"/>
    <w:rsid w:val="00DE660A"/>
    <w:rsid w:val="00E43145"/>
    <w:rsid w:val="00E93422"/>
    <w:rsid w:val="00EB6678"/>
    <w:rsid w:val="00EF333D"/>
    <w:rsid w:val="00F05C01"/>
    <w:rsid w:val="00F069C3"/>
    <w:rsid w:val="00F06C5E"/>
    <w:rsid w:val="00F20443"/>
    <w:rsid w:val="00F63191"/>
    <w:rsid w:val="00F64CD1"/>
    <w:rsid w:val="00F927B0"/>
    <w:rsid w:val="00FB0B91"/>
    <w:rsid w:val="00FD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D7F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D7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188">
      <w:bodyDiv w:val="1"/>
      <w:marLeft w:val="0"/>
      <w:marRight w:val="0"/>
      <w:marTop w:val="0"/>
      <w:marBottom w:val="0"/>
      <w:divBdr>
        <w:top w:val="none" w:sz="0" w:space="0" w:color="auto"/>
        <w:left w:val="none" w:sz="0" w:space="0" w:color="auto"/>
        <w:bottom w:val="none" w:sz="0" w:space="0" w:color="auto"/>
        <w:right w:val="none" w:sz="0" w:space="0" w:color="auto"/>
      </w:divBdr>
      <w:divsChild>
        <w:div w:id="1341129113">
          <w:marLeft w:val="0"/>
          <w:marRight w:val="0"/>
          <w:marTop w:val="0"/>
          <w:marBottom w:val="0"/>
          <w:divBdr>
            <w:top w:val="none" w:sz="0" w:space="0" w:color="auto"/>
            <w:left w:val="none" w:sz="0" w:space="0" w:color="auto"/>
            <w:bottom w:val="none" w:sz="0" w:space="0" w:color="auto"/>
            <w:right w:val="none" w:sz="0" w:space="0" w:color="auto"/>
          </w:divBdr>
        </w:div>
        <w:div w:id="1104500966">
          <w:marLeft w:val="0"/>
          <w:marRight w:val="0"/>
          <w:marTop w:val="0"/>
          <w:marBottom w:val="0"/>
          <w:divBdr>
            <w:top w:val="none" w:sz="0" w:space="0" w:color="auto"/>
            <w:left w:val="none" w:sz="0" w:space="0" w:color="auto"/>
            <w:bottom w:val="none" w:sz="0" w:space="0" w:color="auto"/>
            <w:right w:val="none" w:sz="0" w:space="0" w:color="auto"/>
          </w:divBdr>
        </w:div>
      </w:divsChild>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259678506">
      <w:bodyDiv w:val="1"/>
      <w:marLeft w:val="0"/>
      <w:marRight w:val="0"/>
      <w:marTop w:val="0"/>
      <w:marBottom w:val="0"/>
      <w:divBdr>
        <w:top w:val="none" w:sz="0" w:space="0" w:color="auto"/>
        <w:left w:val="none" w:sz="0" w:space="0" w:color="auto"/>
        <w:bottom w:val="none" w:sz="0" w:space="0" w:color="auto"/>
        <w:right w:val="none" w:sz="0" w:space="0" w:color="auto"/>
      </w:divBdr>
    </w:div>
    <w:div w:id="276912919">
      <w:bodyDiv w:val="1"/>
      <w:marLeft w:val="0"/>
      <w:marRight w:val="0"/>
      <w:marTop w:val="0"/>
      <w:marBottom w:val="0"/>
      <w:divBdr>
        <w:top w:val="none" w:sz="0" w:space="0" w:color="auto"/>
        <w:left w:val="none" w:sz="0" w:space="0" w:color="auto"/>
        <w:bottom w:val="none" w:sz="0" w:space="0" w:color="auto"/>
        <w:right w:val="none" w:sz="0" w:space="0" w:color="auto"/>
      </w:divBdr>
      <w:divsChild>
        <w:div w:id="138697595">
          <w:marLeft w:val="0"/>
          <w:marRight w:val="0"/>
          <w:marTop w:val="0"/>
          <w:marBottom w:val="0"/>
          <w:divBdr>
            <w:top w:val="none" w:sz="0" w:space="0" w:color="auto"/>
            <w:left w:val="none" w:sz="0" w:space="0" w:color="auto"/>
            <w:bottom w:val="none" w:sz="0" w:space="0" w:color="auto"/>
            <w:right w:val="none" w:sz="0" w:space="0" w:color="auto"/>
          </w:divBdr>
        </w:div>
        <w:div w:id="257294631">
          <w:marLeft w:val="0"/>
          <w:marRight w:val="0"/>
          <w:marTop w:val="0"/>
          <w:marBottom w:val="0"/>
          <w:divBdr>
            <w:top w:val="none" w:sz="0" w:space="0" w:color="auto"/>
            <w:left w:val="none" w:sz="0" w:space="0" w:color="auto"/>
            <w:bottom w:val="none" w:sz="0" w:space="0" w:color="auto"/>
            <w:right w:val="none" w:sz="0" w:space="0" w:color="auto"/>
          </w:divBdr>
        </w:div>
        <w:div w:id="714550892">
          <w:marLeft w:val="0"/>
          <w:marRight w:val="0"/>
          <w:marTop w:val="0"/>
          <w:marBottom w:val="0"/>
          <w:divBdr>
            <w:top w:val="none" w:sz="0" w:space="0" w:color="auto"/>
            <w:left w:val="none" w:sz="0" w:space="0" w:color="auto"/>
            <w:bottom w:val="none" w:sz="0" w:space="0" w:color="auto"/>
            <w:right w:val="none" w:sz="0" w:space="0" w:color="auto"/>
          </w:divBdr>
        </w:div>
        <w:div w:id="48505729">
          <w:marLeft w:val="0"/>
          <w:marRight w:val="0"/>
          <w:marTop w:val="0"/>
          <w:marBottom w:val="0"/>
          <w:divBdr>
            <w:top w:val="none" w:sz="0" w:space="0" w:color="auto"/>
            <w:left w:val="none" w:sz="0" w:space="0" w:color="auto"/>
            <w:bottom w:val="none" w:sz="0" w:space="0" w:color="auto"/>
            <w:right w:val="none" w:sz="0" w:space="0" w:color="auto"/>
          </w:divBdr>
        </w:div>
        <w:div w:id="626277439">
          <w:marLeft w:val="0"/>
          <w:marRight w:val="0"/>
          <w:marTop w:val="0"/>
          <w:marBottom w:val="0"/>
          <w:divBdr>
            <w:top w:val="none" w:sz="0" w:space="0" w:color="auto"/>
            <w:left w:val="none" w:sz="0" w:space="0" w:color="auto"/>
            <w:bottom w:val="none" w:sz="0" w:space="0" w:color="auto"/>
            <w:right w:val="none" w:sz="0" w:space="0" w:color="auto"/>
          </w:divBdr>
        </w:div>
        <w:div w:id="1307321331">
          <w:marLeft w:val="0"/>
          <w:marRight w:val="0"/>
          <w:marTop w:val="0"/>
          <w:marBottom w:val="0"/>
          <w:divBdr>
            <w:top w:val="none" w:sz="0" w:space="0" w:color="auto"/>
            <w:left w:val="none" w:sz="0" w:space="0" w:color="auto"/>
            <w:bottom w:val="none" w:sz="0" w:space="0" w:color="auto"/>
            <w:right w:val="none" w:sz="0" w:space="0" w:color="auto"/>
          </w:divBdr>
        </w:div>
        <w:div w:id="767965524">
          <w:marLeft w:val="0"/>
          <w:marRight w:val="0"/>
          <w:marTop w:val="0"/>
          <w:marBottom w:val="0"/>
          <w:divBdr>
            <w:top w:val="none" w:sz="0" w:space="0" w:color="auto"/>
            <w:left w:val="none" w:sz="0" w:space="0" w:color="auto"/>
            <w:bottom w:val="none" w:sz="0" w:space="0" w:color="auto"/>
            <w:right w:val="none" w:sz="0" w:space="0" w:color="auto"/>
          </w:divBdr>
        </w:div>
        <w:div w:id="1901554673">
          <w:marLeft w:val="0"/>
          <w:marRight w:val="0"/>
          <w:marTop w:val="0"/>
          <w:marBottom w:val="0"/>
          <w:divBdr>
            <w:top w:val="none" w:sz="0" w:space="0" w:color="auto"/>
            <w:left w:val="none" w:sz="0" w:space="0" w:color="auto"/>
            <w:bottom w:val="none" w:sz="0" w:space="0" w:color="auto"/>
            <w:right w:val="none" w:sz="0" w:space="0" w:color="auto"/>
          </w:divBdr>
        </w:div>
        <w:div w:id="521747650">
          <w:marLeft w:val="0"/>
          <w:marRight w:val="0"/>
          <w:marTop w:val="0"/>
          <w:marBottom w:val="0"/>
          <w:divBdr>
            <w:top w:val="none" w:sz="0" w:space="0" w:color="auto"/>
            <w:left w:val="none" w:sz="0" w:space="0" w:color="auto"/>
            <w:bottom w:val="none" w:sz="0" w:space="0" w:color="auto"/>
            <w:right w:val="none" w:sz="0" w:space="0" w:color="auto"/>
          </w:divBdr>
        </w:div>
        <w:div w:id="55707130">
          <w:marLeft w:val="0"/>
          <w:marRight w:val="0"/>
          <w:marTop w:val="0"/>
          <w:marBottom w:val="0"/>
          <w:divBdr>
            <w:top w:val="none" w:sz="0" w:space="0" w:color="auto"/>
            <w:left w:val="none" w:sz="0" w:space="0" w:color="auto"/>
            <w:bottom w:val="none" w:sz="0" w:space="0" w:color="auto"/>
            <w:right w:val="none" w:sz="0" w:space="0" w:color="auto"/>
          </w:divBdr>
        </w:div>
        <w:div w:id="1312250016">
          <w:marLeft w:val="0"/>
          <w:marRight w:val="0"/>
          <w:marTop w:val="0"/>
          <w:marBottom w:val="0"/>
          <w:divBdr>
            <w:top w:val="none" w:sz="0" w:space="0" w:color="auto"/>
            <w:left w:val="none" w:sz="0" w:space="0" w:color="auto"/>
            <w:bottom w:val="none" w:sz="0" w:space="0" w:color="auto"/>
            <w:right w:val="none" w:sz="0" w:space="0" w:color="auto"/>
          </w:divBdr>
        </w:div>
        <w:div w:id="233667010">
          <w:marLeft w:val="0"/>
          <w:marRight w:val="0"/>
          <w:marTop w:val="0"/>
          <w:marBottom w:val="0"/>
          <w:divBdr>
            <w:top w:val="none" w:sz="0" w:space="0" w:color="auto"/>
            <w:left w:val="none" w:sz="0" w:space="0" w:color="auto"/>
            <w:bottom w:val="none" w:sz="0" w:space="0" w:color="auto"/>
            <w:right w:val="none" w:sz="0" w:space="0" w:color="auto"/>
          </w:divBdr>
        </w:div>
        <w:div w:id="875043232">
          <w:marLeft w:val="0"/>
          <w:marRight w:val="0"/>
          <w:marTop w:val="0"/>
          <w:marBottom w:val="0"/>
          <w:divBdr>
            <w:top w:val="none" w:sz="0" w:space="0" w:color="auto"/>
            <w:left w:val="none" w:sz="0" w:space="0" w:color="auto"/>
            <w:bottom w:val="none" w:sz="0" w:space="0" w:color="auto"/>
            <w:right w:val="none" w:sz="0" w:space="0" w:color="auto"/>
          </w:divBdr>
        </w:div>
        <w:div w:id="343749656">
          <w:marLeft w:val="0"/>
          <w:marRight w:val="0"/>
          <w:marTop w:val="0"/>
          <w:marBottom w:val="0"/>
          <w:divBdr>
            <w:top w:val="none" w:sz="0" w:space="0" w:color="auto"/>
            <w:left w:val="none" w:sz="0" w:space="0" w:color="auto"/>
            <w:bottom w:val="none" w:sz="0" w:space="0" w:color="auto"/>
            <w:right w:val="none" w:sz="0" w:space="0" w:color="auto"/>
          </w:divBdr>
        </w:div>
      </w:divsChild>
    </w:div>
    <w:div w:id="807287086">
      <w:bodyDiv w:val="1"/>
      <w:marLeft w:val="0"/>
      <w:marRight w:val="0"/>
      <w:marTop w:val="0"/>
      <w:marBottom w:val="0"/>
      <w:divBdr>
        <w:top w:val="none" w:sz="0" w:space="0" w:color="auto"/>
        <w:left w:val="none" w:sz="0" w:space="0" w:color="auto"/>
        <w:bottom w:val="none" w:sz="0" w:space="0" w:color="auto"/>
        <w:right w:val="none" w:sz="0" w:space="0" w:color="auto"/>
      </w:divBdr>
      <w:divsChild>
        <w:div w:id="266735021">
          <w:marLeft w:val="0"/>
          <w:marRight w:val="0"/>
          <w:marTop w:val="0"/>
          <w:marBottom w:val="0"/>
          <w:divBdr>
            <w:top w:val="none" w:sz="0" w:space="0" w:color="auto"/>
            <w:left w:val="none" w:sz="0" w:space="0" w:color="auto"/>
            <w:bottom w:val="none" w:sz="0" w:space="0" w:color="auto"/>
            <w:right w:val="none" w:sz="0" w:space="0" w:color="auto"/>
          </w:divBdr>
        </w:div>
        <w:div w:id="827555788">
          <w:marLeft w:val="0"/>
          <w:marRight w:val="0"/>
          <w:marTop w:val="0"/>
          <w:marBottom w:val="0"/>
          <w:divBdr>
            <w:top w:val="none" w:sz="0" w:space="0" w:color="auto"/>
            <w:left w:val="none" w:sz="0" w:space="0" w:color="auto"/>
            <w:bottom w:val="none" w:sz="0" w:space="0" w:color="auto"/>
            <w:right w:val="none" w:sz="0" w:space="0" w:color="auto"/>
          </w:divBdr>
        </w:div>
        <w:div w:id="1425149068">
          <w:marLeft w:val="0"/>
          <w:marRight w:val="0"/>
          <w:marTop w:val="0"/>
          <w:marBottom w:val="0"/>
          <w:divBdr>
            <w:top w:val="none" w:sz="0" w:space="0" w:color="auto"/>
            <w:left w:val="none" w:sz="0" w:space="0" w:color="auto"/>
            <w:bottom w:val="none" w:sz="0" w:space="0" w:color="auto"/>
            <w:right w:val="none" w:sz="0" w:space="0" w:color="auto"/>
          </w:divBdr>
        </w:div>
        <w:div w:id="1845438173">
          <w:marLeft w:val="0"/>
          <w:marRight w:val="0"/>
          <w:marTop w:val="0"/>
          <w:marBottom w:val="0"/>
          <w:divBdr>
            <w:top w:val="none" w:sz="0" w:space="0" w:color="auto"/>
            <w:left w:val="none" w:sz="0" w:space="0" w:color="auto"/>
            <w:bottom w:val="none" w:sz="0" w:space="0" w:color="auto"/>
            <w:right w:val="none" w:sz="0" w:space="0" w:color="auto"/>
          </w:divBdr>
        </w:div>
        <w:div w:id="108818205">
          <w:marLeft w:val="0"/>
          <w:marRight w:val="0"/>
          <w:marTop w:val="0"/>
          <w:marBottom w:val="0"/>
          <w:divBdr>
            <w:top w:val="none" w:sz="0" w:space="0" w:color="auto"/>
            <w:left w:val="none" w:sz="0" w:space="0" w:color="auto"/>
            <w:bottom w:val="none" w:sz="0" w:space="0" w:color="auto"/>
            <w:right w:val="none" w:sz="0" w:space="0" w:color="auto"/>
          </w:divBdr>
        </w:div>
        <w:div w:id="1418599744">
          <w:marLeft w:val="0"/>
          <w:marRight w:val="0"/>
          <w:marTop w:val="0"/>
          <w:marBottom w:val="0"/>
          <w:divBdr>
            <w:top w:val="none" w:sz="0" w:space="0" w:color="auto"/>
            <w:left w:val="none" w:sz="0" w:space="0" w:color="auto"/>
            <w:bottom w:val="none" w:sz="0" w:space="0" w:color="auto"/>
            <w:right w:val="none" w:sz="0" w:space="0" w:color="auto"/>
          </w:divBdr>
        </w:div>
        <w:div w:id="992833001">
          <w:marLeft w:val="0"/>
          <w:marRight w:val="0"/>
          <w:marTop w:val="0"/>
          <w:marBottom w:val="0"/>
          <w:divBdr>
            <w:top w:val="none" w:sz="0" w:space="0" w:color="auto"/>
            <w:left w:val="none" w:sz="0" w:space="0" w:color="auto"/>
            <w:bottom w:val="none" w:sz="0" w:space="0" w:color="auto"/>
            <w:right w:val="none" w:sz="0" w:space="0" w:color="auto"/>
          </w:divBdr>
        </w:div>
        <w:div w:id="696466000">
          <w:marLeft w:val="0"/>
          <w:marRight w:val="0"/>
          <w:marTop w:val="0"/>
          <w:marBottom w:val="0"/>
          <w:divBdr>
            <w:top w:val="none" w:sz="0" w:space="0" w:color="auto"/>
            <w:left w:val="none" w:sz="0" w:space="0" w:color="auto"/>
            <w:bottom w:val="none" w:sz="0" w:space="0" w:color="auto"/>
            <w:right w:val="none" w:sz="0" w:space="0" w:color="auto"/>
          </w:divBdr>
        </w:div>
        <w:div w:id="768818008">
          <w:marLeft w:val="0"/>
          <w:marRight w:val="0"/>
          <w:marTop w:val="0"/>
          <w:marBottom w:val="0"/>
          <w:divBdr>
            <w:top w:val="none" w:sz="0" w:space="0" w:color="auto"/>
            <w:left w:val="none" w:sz="0" w:space="0" w:color="auto"/>
            <w:bottom w:val="none" w:sz="0" w:space="0" w:color="auto"/>
            <w:right w:val="none" w:sz="0" w:space="0" w:color="auto"/>
          </w:divBdr>
        </w:div>
        <w:div w:id="789277470">
          <w:marLeft w:val="0"/>
          <w:marRight w:val="0"/>
          <w:marTop w:val="0"/>
          <w:marBottom w:val="0"/>
          <w:divBdr>
            <w:top w:val="none" w:sz="0" w:space="0" w:color="auto"/>
            <w:left w:val="none" w:sz="0" w:space="0" w:color="auto"/>
            <w:bottom w:val="none" w:sz="0" w:space="0" w:color="auto"/>
            <w:right w:val="none" w:sz="0" w:space="0" w:color="auto"/>
          </w:divBdr>
        </w:div>
        <w:div w:id="2027053227">
          <w:marLeft w:val="0"/>
          <w:marRight w:val="0"/>
          <w:marTop w:val="0"/>
          <w:marBottom w:val="0"/>
          <w:divBdr>
            <w:top w:val="none" w:sz="0" w:space="0" w:color="auto"/>
            <w:left w:val="none" w:sz="0" w:space="0" w:color="auto"/>
            <w:bottom w:val="none" w:sz="0" w:space="0" w:color="auto"/>
            <w:right w:val="none" w:sz="0" w:space="0" w:color="auto"/>
          </w:divBdr>
        </w:div>
        <w:div w:id="646594556">
          <w:marLeft w:val="0"/>
          <w:marRight w:val="0"/>
          <w:marTop w:val="0"/>
          <w:marBottom w:val="0"/>
          <w:divBdr>
            <w:top w:val="none" w:sz="0" w:space="0" w:color="auto"/>
            <w:left w:val="none" w:sz="0" w:space="0" w:color="auto"/>
            <w:bottom w:val="none" w:sz="0" w:space="0" w:color="auto"/>
            <w:right w:val="none" w:sz="0" w:space="0" w:color="auto"/>
          </w:divBdr>
        </w:div>
        <w:div w:id="102382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da.org/sections/dentalPracticeHub/pdfs/5_DQA_Usual_Source_of_Services%282%2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8347AD-62F1-473C-B36D-71A91161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3</cp:revision>
  <dcterms:created xsi:type="dcterms:W3CDTF">2014-03-08T04:25:00Z</dcterms:created>
  <dcterms:modified xsi:type="dcterms:W3CDTF">2014-10-01T17:17:00Z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