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85" w:rsidRPr="00DD1C68" w:rsidRDefault="00041A85" w:rsidP="00041A85">
      <w:pPr>
        <w:pStyle w:val="Heading1"/>
      </w:pPr>
      <w:r w:rsidRPr="00DD1C68">
        <w:t>IT-</w:t>
      </w:r>
      <w:r w:rsidR="00F93248">
        <w:t>6.2.d</w:t>
      </w:r>
      <w:r w:rsidRPr="00DD1C68">
        <w:t xml:space="preserve">:  </w:t>
      </w:r>
      <w:r>
        <w:t>Patient Satisfaction Questionnaire (PSQ-18, PSQ-III)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178"/>
        <w:gridCol w:w="7380"/>
      </w:tblGrid>
      <w:tr w:rsidR="00EA7376" w:rsidRPr="00DD1C68" w:rsidTr="009C3B05">
        <w:trPr>
          <w:wAfter w:w="18" w:type="dxa"/>
          <w:tblHeader/>
        </w:trPr>
        <w:tc>
          <w:tcPr>
            <w:tcW w:w="2178" w:type="dxa"/>
            <w:shd w:val="clear" w:color="auto" w:fill="F2F2F2" w:themeFill="background1" w:themeFillShade="F2"/>
          </w:tcPr>
          <w:p w:rsidR="00041A85" w:rsidRPr="00DD1C68" w:rsidRDefault="009C3B05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Tool</w:t>
            </w:r>
            <w:r w:rsidR="00041A85" w:rsidRPr="00DD1C68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041A85" w:rsidRPr="00DD1C68" w:rsidRDefault="00EF339B" w:rsidP="00106988">
            <w:pPr>
              <w:spacing w:after="120"/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rFonts w:cstheme="minorHAnsi"/>
                <w:b/>
              </w:rPr>
              <w:t xml:space="preserve">IT-6.2.d </w:t>
            </w:r>
            <w:r w:rsidR="00041A85">
              <w:rPr>
                <w:rFonts w:cstheme="minorHAnsi"/>
                <w:b/>
              </w:rPr>
              <w:t>Patient Satisfaction Questionnaire</w:t>
            </w:r>
          </w:p>
        </w:tc>
      </w:tr>
      <w:tr w:rsidR="00EA7376" w:rsidRPr="00DD1C68" w:rsidTr="009C3B05">
        <w:trPr>
          <w:wAfter w:w="18" w:type="dxa"/>
        </w:trPr>
        <w:tc>
          <w:tcPr>
            <w:tcW w:w="2178" w:type="dxa"/>
          </w:tcPr>
          <w:p w:rsidR="00041A85" w:rsidRPr="00DD1C68" w:rsidRDefault="00041A85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Description</w:t>
            </w:r>
          </w:p>
        </w:tc>
        <w:tc>
          <w:tcPr>
            <w:tcW w:w="7380" w:type="dxa"/>
          </w:tcPr>
          <w:p w:rsidR="00A04B09" w:rsidRDefault="00F93248" w:rsidP="00F932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 xml:space="preserve">The PSQ-III is a 50-item survey that </w:t>
            </w:r>
            <w:r w:rsidR="007B599F">
              <w:rPr>
                <w:rFonts w:asciiTheme="minorHAnsi" w:hAnsiTheme="minorHAnsi" w:cstheme="minorHAnsi"/>
                <w:sz w:val="22"/>
                <w:szCs w:val="22"/>
              </w:rPr>
              <w:t>includes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subdomains: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2E33" w:rsidRDefault="00922E33" w:rsidP="00F932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4B09" w:rsidRPr="00A04B09" w:rsidRDefault="00A04B09" w:rsidP="00F9324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PSQ-III subdomains: </w:t>
            </w:r>
          </w:p>
          <w:p w:rsidR="00041A85" w:rsidRDefault="00912AC9" w:rsidP="00912AC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2AC9">
              <w:rPr>
                <w:rFonts w:asciiTheme="minorHAnsi" w:hAnsiTheme="minorHAnsi" w:cstheme="minorHAnsi"/>
                <w:b/>
                <w:sz w:val="22"/>
                <w:szCs w:val="22"/>
              </w:rPr>
              <w:t>IT-6.2.d.i: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248"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 w:rsidR="00F93248">
              <w:rPr>
                <w:rFonts w:asciiTheme="minorHAnsi" w:hAnsiTheme="minorHAnsi" w:cstheme="minorHAnsi"/>
                <w:sz w:val="22"/>
                <w:szCs w:val="22"/>
              </w:rPr>
              <w:t xml:space="preserve"> General Satisfaction</w:t>
            </w:r>
          </w:p>
          <w:p w:rsidR="00F93248" w:rsidRDefault="00F93248" w:rsidP="00912AC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-6.2.d.ii: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Technical Quality</w:t>
            </w:r>
          </w:p>
          <w:p w:rsidR="00F93248" w:rsidRDefault="00F93248" w:rsidP="00F9324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-6.2.d.iii: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Interpersonal Aspects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-6.2.d.iv: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Communication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-6.2.d.v: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Financial Aspects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-6.2.d.vi: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Time spent with doctors</w:t>
            </w:r>
          </w:p>
          <w:p w:rsidR="00F93248" w:rsidRDefault="00F93248" w:rsidP="00F9324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IT-6.2.d.vii: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A85">
              <w:rPr>
                <w:rFonts w:asciiTheme="minorHAnsi" w:hAnsiTheme="minorHAnsi" w:cstheme="minorHAnsi"/>
                <w:sz w:val="22"/>
                <w:szCs w:val="22"/>
              </w:rPr>
              <w:t>PSQ-III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Access, Availability, &amp; Convenience</w:t>
            </w:r>
          </w:p>
          <w:p w:rsidR="00F93248" w:rsidRDefault="00F93248" w:rsidP="00F932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A85" w:rsidRDefault="00041A85" w:rsidP="00F932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2AC9">
              <w:rPr>
                <w:rFonts w:asciiTheme="minorHAnsi" w:hAnsiTheme="minorHAnsi" w:cstheme="minorHAnsi"/>
                <w:sz w:val="22"/>
                <w:szCs w:val="22"/>
              </w:rPr>
              <w:t>The PSQ-18 is a short</w:t>
            </w:r>
            <w:r w:rsidR="00F93248">
              <w:rPr>
                <w:rFonts w:asciiTheme="minorHAnsi" w:hAnsiTheme="minorHAnsi" w:cstheme="minorHAnsi"/>
                <w:sz w:val="22"/>
                <w:szCs w:val="22"/>
              </w:rPr>
              <w:t>er 18-item</w:t>
            </w:r>
            <w:r w:rsidRPr="00912AC9">
              <w:rPr>
                <w:rFonts w:asciiTheme="minorHAnsi" w:hAnsiTheme="minorHAnsi" w:cstheme="minorHAnsi"/>
                <w:sz w:val="22"/>
                <w:szCs w:val="22"/>
              </w:rPr>
              <w:t xml:space="preserve"> form </w:t>
            </w:r>
            <w:r w:rsidR="00912AC9">
              <w:rPr>
                <w:rFonts w:asciiTheme="minorHAnsi" w:hAnsiTheme="minorHAnsi" w:cstheme="minorHAnsi"/>
                <w:sz w:val="22"/>
                <w:szCs w:val="22"/>
              </w:rPr>
              <w:t>of the PSQ-III</w:t>
            </w:r>
            <w:r w:rsidRPr="00912AC9">
              <w:rPr>
                <w:rFonts w:asciiTheme="minorHAnsi" w:hAnsiTheme="minorHAnsi" w:cstheme="minorHAnsi"/>
                <w:sz w:val="22"/>
                <w:szCs w:val="22"/>
              </w:rPr>
              <w:t xml:space="preserve"> that retains many characteristics of its full-length counterpart</w:t>
            </w:r>
            <w:r w:rsidR="00912AC9">
              <w:rPr>
                <w:rFonts w:asciiTheme="minorHAnsi" w:hAnsiTheme="minorHAnsi" w:cstheme="minorHAnsi"/>
                <w:sz w:val="22"/>
                <w:szCs w:val="22"/>
              </w:rPr>
              <w:t xml:space="preserve"> and taps the same 7 subdomains</w:t>
            </w:r>
            <w:r w:rsidRPr="0091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12AC9">
              <w:rPr>
                <w:rFonts w:ascii="Verdana" w:eastAsiaTheme="minorHAnsi" w:hAnsi="Verdana" w:cstheme="minorBidi"/>
                <w:sz w:val="29"/>
                <w:szCs w:val="29"/>
                <w:shd w:val="clear" w:color="auto" w:fill="FFFFFF"/>
              </w:rPr>
              <w:t xml:space="preserve"> </w:t>
            </w:r>
            <w:r w:rsidR="00912A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2AC9">
              <w:rPr>
                <w:rFonts w:asciiTheme="minorHAnsi" w:hAnsiTheme="minorHAnsi" w:cstheme="minorHAnsi"/>
                <w:sz w:val="22"/>
                <w:szCs w:val="22"/>
              </w:rPr>
              <w:t>ay be appropriate for use in situations where the need for brevity precludes administration of the full-length PSQ-III.</w:t>
            </w:r>
          </w:p>
          <w:p w:rsidR="00A04B09" w:rsidRDefault="00A04B09" w:rsidP="00F932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4B09" w:rsidRPr="00A04B09" w:rsidRDefault="00A04B09" w:rsidP="00F9324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PSQ</w:t>
            </w:r>
            <w:r w:rsidRPr="00A04B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-18 subdomains: 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IT-6.2.d.viii: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PSQ-18 General Satisfaction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IT-6.2.d.xi: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PSQ-18 Technical Quality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IT-6.2.d.x: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PSQ-18 Interpersonal Aspects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IT-6.2.d.xi: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PSQ-18 Communication 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IT-6.2.d.xii: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PSQ-18 Financial Aspects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IT-6.2.d.xiii: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PSQ-18 Time spent with doctors</w:t>
            </w:r>
          </w:p>
          <w:p w:rsidR="00F93248" w:rsidRPr="00F93248" w:rsidRDefault="00F93248" w:rsidP="00F9324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248">
              <w:rPr>
                <w:rFonts w:asciiTheme="minorHAnsi" w:hAnsiTheme="minorHAnsi" w:cstheme="minorHAnsi"/>
                <w:b/>
                <w:sz w:val="22"/>
                <w:szCs w:val="22"/>
              </w:rPr>
              <w:t>IT-6.2.d.xiv: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PSQ-18 Access, Availability, &amp; Convenience</w:t>
            </w:r>
          </w:p>
          <w:p w:rsidR="00041A85" w:rsidRPr="00DD1C68" w:rsidRDefault="00041A85" w:rsidP="00106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A7376" w:rsidRPr="00DD1C68" w:rsidTr="009C3B05">
        <w:trPr>
          <w:wAfter w:w="18" w:type="dxa"/>
        </w:trPr>
        <w:tc>
          <w:tcPr>
            <w:tcW w:w="2178" w:type="dxa"/>
          </w:tcPr>
          <w:p w:rsidR="00041A85" w:rsidRPr="00DD1C68" w:rsidRDefault="00041A85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Setting</w:t>
            </w:r>
          </w:p>
        </w:tc>
        <w:tc>
          <w:tcPr>
            <w:tcW w:w="7380" w:type="dxa"/>
          </w:tcPr>
          <w:p w:rsidR="00041A85" w:rsidRPr="00DD1C68" w:rsidRDefault="00F93248" w:rsidP="00F93248">
            <w:pPr>
              <w:pStyle w:val="NoSpacing"/>
              <w:rPr>
                <w:rFonts w:cstheme="minorHAnsi"/>
              </w:rPr>
            </w:pPr>
            <w:r>
              <w:t>Ambulatory</w:t>
            </w:r>
          </w:p>
        </w:tc>
      </w:tr>
      <w:tr w:rsidR="00EA7376" w:rsidRPr="00DD1C68" w:rsidTr="009C3B05">
        <w:trPr>
          <w:wAfter w:w="18" w:type="dxa"/>
        </w:trPr>
        <w:tc>
          <w:tcPr>
            <w:tcW w:w="2178" w:type="dxa"/>
          </w:tcPr>
          <w:p w:rsidR="00041A85" w:rsidRPr="00DD1C68" w:rsidRDefault="00041A85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NQF Number</w:t>
            </w:r>
          </w:p>
        </w:tc>
        <w:tc>
          <w:tcPr>
            <w:tcW w:w="7380" w:type="dxa"/>
          </w:tcPr>
          <w:p w:rsidR="00041A85" w:rsidRPr="00F93248" w:rsidRDefault="00F93248" w:rsidP="00106988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none</w:t>
            </w:r>
          </w:p>
        </w:tc>
      </w:tr>
      <w:tr w:rsidR="00EA7376" w:rsidRPr="00DD1C68" w:rsidTr="009C3B05">
        <w:trPr>
          <w:wAfter w:w="18" w:type="dxa"/>
        </w:trPr>
        <w:tc>
          <w:tcPr>
            <w:tcW w:w="2178" w:type="dxa"/>
          </w:tcPr>
          <w:p w:rsidR="00041A85" w:rsidRPr="00DD1C68" w:rsidRDefault="00041A85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Measure Steward</w:t>
            </w:r>
            <w:r>
              <w:rPr>
                <w:rFonts w:cstheme="minorHAnsi"/>
                <w:b/>
              </w:rPr>
              <w:t xml:space="preserve"> or Survey Developer</w:t>
            </w:r>
          </w:p>
        </w:tc>
        <w:tc>
          <w:tcPr>
            <w:tcW w:w="7380" w:type="dxa"/>
          </w:tcPr>
          <w:p w:rsidR="00041A85" w:rsidRPr="00DD1C68" w:rsidRDefault="00041A85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>RAND Corporation</w:t>
            </w: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Survey Specifications</w:t>
            </w:r>
          </w:p>
        </w:tc>
        <w:tc>
          <w:tcPr>
            <w:tcW w:w="7380" w:type="dxa"/>
          </w:tcPr>
          <w:p w:rsidR="00922E33" w:rsidRDefault="00C935F4" w:rsidP="00106988">
            <w:pPr>
              <w:pStyle w:val="NoSpacing"/>
              <w:rPr>
                <w:rFonts w:cstheme="minorHAnsi"/>
                <w:bCs/>
                <w:shd w:val="clear" w:color="auto" w:fill="FFFFFF"/>
              </w:rPr>
            </w:pPr>
            <w:hyperlink r:id="rId8" w:history="1">
              <w:r w:rsidR="00922E33" w:rsidRPr="00A93051">
                <w:rPr>
                  <w:rStyle w:val="Hyperlink"/>
                  <w:rFonts w:cstheme="minorHAnsi"/>
                  <w:bCs/>
                  <w:shd w:val="clear" w:color="auto" w:fill="FFFFFF"/>
                </w:rPr>
                <w:t>http://www.rand.org/health/surveys_tools/psq.html</w:t>
              </w:r>
            </w:hyperlink>
            <w:r w:rsidR="00922E33">
              <w:rPr>
                <w:rFonts w:cstheme="minorHAnsi"/>
                <w:bCs/>
                <w:shd w:val="clear" w:color="auto" w:fill="FFFFFF"/>
              </w:rPr>
              <w:t xml:space="preserve"> </w:t>
            </w:r>
          </w:p>
        </w:tc>
      </w:tr>
      <w:tr w:rsidR="00F93248" w:rsidRPr="00DD1C68" w:rsidTr="009C3B05">
        <w:trPr>
          <w:wAfter w:w="18" w:type="dxa"/>
        </w:trPr>
        <w:tc>
          <w:tcPr>
            <w:tcW w:w="2178" w:type="dxa"/>
          </w:tcPr>
          <w:p w:rsidR="00F93248" w:rsidRPr="00DD1C68" w:rsidRDefault="00F93248" w:rsidP="00F9324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 to survey</w:t>
            </w:r>
          </w:p>
        </w:tc>
        <w:tc>
          <w:tcPr>
            <w:tcW w:w="7380" w:type="dxa"/>
          </w:tcPr>
          <w:p w:rsidR="00F93248" w:rsidRDefault="00922E33" w:rsidP="00106988">
            <w:pPr>
              <w:pStyle w:val="NoSpacing"/>
            </w:pPr>
            <w:r>
              <w:t xml:space="preserve">PSQ-III: </w:t>
            </w:r>
            <w:hyperlink r:id="rId9" w:history="1">
              <w:r w:rsidR="00F93248" w:rsidRPr="00AD749E">
                <w:rPr>
                  <w:rStyle w:val="Hyperlink"/>
                </w:rPr>
                <w:t>http://www.rand.org/content/dam/rand/www/external/health/surveys_tools/psq/psq3_survey.pdf</w:t>
              </w:r>
            </w:hyperlink>
            <w:r w:rsidR="00F93248">
              <w:t xml:space="preserve"> </w:t>
            </w:r>
          </w:p>
          <w:p w:rsidR="00F93248" w:rsidRDefault="00F93248" w:rsidP="00106988">
            <w:pPr>
              <w:pStyle w:val="NoSpacing"/>
            </w:pPr>
          </w:p>
          <w:p w:rsidR="00F93248" w:rsidRDefault="00F93248" w:rsidP="00106988">
            <w:pPr>
              <w:pStyle w:val="NoSpacing"/>
            </w:pPr>
            <w:r>
              <w:t>PSQ-18:</w:t>
            </w:r>
          </w:p>
          <w:p w:rsidR="00F93248" w:rsidRDefault="00C935F4" w:rsidP="00106988">
            <w:pPr>
              <w:pStyle w:val="NoSpacing"/>
              <w:rPr>
                <w:rFonts w:cstheme="minorHAnsi"/>
              </w:rPr>
            </w:pPr>
            <w:hyperlink r:id="rId10" w:history="1">
              <w:r w:rsidR="00F93248" w:rsidRPr="00AD749E">
                <w:rPr>
                  <w:rStyle w:val="Hyperlink"/>
                  <w:rFonts w:cstheme="minorHAnsi"/>
                </w:rPr>
                <w:t>http://www.rand.org/content/dam/rand/www/external/health/surveys_tools/psq/psq18_survey.pdf</w:t>
              </w:r>
            </w:hyperlink>
            <w:r w:rsidR="00F93248">
              <w:rPr>
                <w:rFonts w:cstheme="minorHAnsi"/>
              </w:rPr>
              <w:t xml:space="preserve"> </w:t>
            </w:r>
          </w:p>
          <w:p w:rsidR="00F93248" w:rsidRPr="00DD1C68" w:rsidRDefault="00F93248" w:rsidP="00106988">
            <w:pPr>
              <w:pStyle w:val="NoSpacing"/>
              <w:rPr>
                <w:rFonts w:cstheme="minorHAnsi"/>
              </w:rPr>
            </w:pPr>
          </w:p>
        </w:tc>
      </w:tr>
      <w:tr w:rsidR="00F93248" w:rsidRPr="00DD1C68" w:rsidTr="009C3B05">
        <w:trPr>
          <w:wAfter w:w="18" w:type="dxa"/>
        </w:trPr>
        <w:tc>
          <w:tcPr>
            <w:tcW w:w="2178" w:type="dxa"/>
          </w:tcPr>
          <w:p w:rsidR="00F93248" w:rsidRPr="00DD1C68" w:rsidRDefault="00F93248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Measure </w:t>
            </w:r>
            <w:r>
              <w:rPr>
                <w:rFonts w:cstheme="minorHAnsi"/>
                <w:b/>
              </w:rPr>
              <w:t>t</w:t>
            </w:r>
            <w:r w:rsidRPr="00DD1C68">
              <w:rPr>
                <w:rFonts w:cstheme="minorHAnsi"/>
                <w:b/>
              </w:rPr>
              <w:t>ype</w:t>
            </w:r>
          </w:p>
        </w:tc>
        <w:tc>
          <w:tcPr>
            <w:tcW w:w="7380" w:type="dxa"/>
          </w:tcPr>
          <w:p w:rsidR="00F93248" w:rsidRPr="00DD1C68" w:rsidRDefault="00F93248" w:rsidP="0010698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Standalone</w:t>
            </w:r>
          </w:p>
        </w:tc>
      </w:tr>
      <w:tr w:rsidR="00EF339B" w:rsidRPr="00DD1C68" w:rsidTr="009C3B05">
        <w:trPr>
          <w:wAfter w:w="18" w:type="dxa"/>
        </w:trPr>
        <w:tc>
          <w:tcPr>
            <w:tcW w:w="2178" w:type="dxa"/>
          </w:tcPr>
          <w:p w:rsidR="00EF339B" w:rsidRPr="00DD1C68" w:rsidRDefault="00EF339B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7380" w:type="dxa"/>
          </w:tcPr>
          <w:p w:rsidR="00EF339B" w:rsidRDefault="00EF339B" w:rsidP="00A90194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EF339B" w:rsidRPr="008331B0" w:rsidTr="00A90194">
              <w:tc>
                <w:tcPr>
                  <w:tcW w:w="2209" w:type="dxa"/>
                </w:tcPr>
                <w:p w:rsidR="00EF339B" w:rsidRPr="008331B0" w:rsidRDefault="00EF339B" w:rsidP="00A90194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EF339B" w:rsidRPr="008331B0" w:rsidRDefault="00EF339B" w:rsidP="00A90194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EF339B" w:rsidRPr="008331B0" w:rsidRDefault="00EF339B" w:rsidP="00A90194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EF339B" w:rsidRPr="008331B0" w:rsidRDefault="00EF339B" w:rsidP="00A90194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EF339B" w:rsidRPr="008331B0" w:rsidRDefault="00EF339B" w:rsidP="00A90194">
                  <w:pPr>
                    <w:pStyle w:val="NoSpacing"/>
                    <w:jc w:val="center"/>
                  </w:pPr>
                </w:p>
              </w:tc>
            </w:tr>
            <w:tr w:rsidR="00EF339B" w:rsidRPr="008331B0" w:rsidTr="00A90194">
              <w:tc>
                <w:tcPr>
                  <w:tcW w:w="2209" w:type="dxa"/>
                </w:tcPr>
                <w:p w:rsidR="00EF339B" w:rsidRPr="008331B0" w:rsidRDefault="00EF339B" w:rsidP="00A90194">
                  <w:pPr>
                    <w:pStyle w:val="NoSpacing"/>
                    <w:jc w:val="center"/>
                  </w:pPr>
                  <w:r>
                    <w:lastRenderedPageBreak/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EF339B" w:rsidRDefault="00EF339B" w:rsidP="00A90194">
                  <w:pPr>
                    <w:pStyle w:val="NoSpacing"/>
                    <w:jc w:val="center"/>
                  </w:pPr>
                  <w:r w:rsidRPr="008D0FA6">
                    <w:t xml:space="preserve">Baseline + 5% *(performance gap) </w:t>
                  </w:r>
                </w:p>
                <w:p w:rsidR="00EF339B" w:rsidRDefault="00EF339B" w:rsidP="00A90194">
                  <w:pPr>
                    <w:pStyle w:val="NoSpacing"/>
                    <w:jc w:val="center"/>
                  </w:pPr>
                  <w:r w:rsidRPr="008D0FA6">
                    <w:t xml:space="preserve">= </w:t>
                  </w:r>
                </w:p>
                <w:p w:rsidR="00EF339B" w:rsidRPr="008331B0" w:rsidRDefault="00EF339B" w:rsidP="00A90194">
                  <w:pPr>
                    <w:pStyle w:val="NoSpacing"/>
                    <w:jc w:val="center"/>
                  </w:pPr>
                  <w:r w:rsidRPr="008D0FA6">
                    <w:t xml:space="preserve">Baseline + 5%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  <w:tc>
                <w:tcPr>
                  <w:tcW w:w="2209" w:type="dxa"/>
                </w:tcPr>
                <w:p w:rsidR="00EF339B" w:rsidRDefault="00EF339B" w:rsidP="00A90194">
                  <w:pPr>
                    <w:pStyle w:val="NoSpacing"/>
                    <w:jc w:val="center"/>
                  </w:pPr>
                  <w:r w:rsidRPr="008D0FA6">
                    <w:t xml:space="preserve">Baseline + 10% *(performance gap) </w:t>
                  </w:r>
                </w:p>
                <w:p w:rsidR="00EF339B" w:rsidRDefault="00EF339B" w:rsidP="00A90194">
                  <w:pPr>
                    <w:pStyle w:val="NoSpacing"/>
                    <w:jc w:val="center"/>
                  </w:pPr>
                  <w:r w:rsidRPr="008D0FA6">
                    <w:t>=</w:t>
                  </w:r>
                </w:p>
                <w:p w:rsidR="00EF339B" w:rsidRPr="008331B0" w:rsidRDefault="00EF339B" w:rsidP="00A90194">
                  <w:pPr>
                    <w:pStyle w:val="NoSpacing"/>
                    <w:jc w:val="center"/>
                  </w:pPr>
                  <w:r w:rsidRPr="008D0FA6">
                    <w:t xml:space="preserve">Baseline + 10%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</w:tr>
          </w:tbl>
          <w:p w:rsidR="00EF339B" w:rsidRPr="00DD1C68" w:rsidRDefault="00EF339B" w:rsidP="007B599F">
            <w:pPr>
              <w:pStyle w:val="NoSpacing"/>
              <w:rPr>
                <w:rFonts w:cstheme="minorHAnsi"/>
              </w:rPr>
            </w:pPr>
          </w:p>
        </w:tc>
      </w:tr>
      <w:tr w:rsidR="00F93248" w:rsidRPr="00DD1C68" w:rsidTr="009C3B05">
        <w:trPr>
          <w:wAfter w:w="18" w:type="dxa"/>
        </w:trPr>
        <w:tc>
          <w:tcPr>
            <w:tcW w:w="2178" w:type="dxa"/>
          </w:tcPr>
          <w:p w:rsidR="00F93248" w:rsidRPr="00DD1C68" w:rsidRDefault="00F93248" w:rsidP="009C3B05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lastRenderedPageBreak/>
              <w:t>Administration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80" w:type="dxa"/>
          </w:tcPr>
          <w:p w:rsidR="00F93248" w:rsidRDefault="00F93248" w:rsidP="005A4A10">
            <w:pPr>
              <w:pStyle w:val="NoSpacing"/>
              <w:rPr>
                <w:rFonts w:cstheme="minorHAnsi"/>
              </w:rPr>
            </w:pPr>
            <w:r w:rsidRPr="005A4A10">
              <w:rPr>
                <w:rFonts w:cstheme="minorHAnsi"/>
              </w:rPr>
              <w:t>PSQ-III</w:t>
            </w:r>
            <w:r>
              <w:rPr>
                <w:rFonts w:cstheme="minorHAnsi"/>
              </w:rPr>
              <w:t xml:space="preserve">'s contains 50 </w:t>
            </w:r>
            <w:r w:rsidRPr="005A4A10">
              <w:rPr>
                <w:rFonts w:cstheme="minorHAnsi"/>
              </w:rPr>
              <w:t xml:space="preserve">items </w:t>
            </w:r>
            <w:r>
              <w:rPr>
                <w:rFonts w:cstheme="minorHAnsi"/>
              </w:rPr>
              <w:t xml:space="preserve">and the PSQ-18 contains 18 items. Each survey item is constructed as a statement of </w:t>
            </w:r>
            <w:r w:rsidRPr="005A4A10">
              <w:rPr>
                <w:rFonts w:cstheme="minorHAnsi"/>
              </w:rPr>
              <w:t>opinion. Each item is accompan</w:t>
            </w:r>
            <w:r>
              <w:rPr>
                <w:rFonts w:cstheme="minorHAnsi"/>
              </w:rPr>
              <w:t xml:space="preserve">ied by five response categories </w:t>
            </w:r>
            <w:r w:rsidRPr="005A4A10">
              <w:rPr>
                <w:rFonts w:cstheme="minorHAnsi"/>
              </w:rPr>
              <w:t xml:space="preserve">(strongly agree, agree, uncertain, disagree, </w:t>
            </w:r>
            <w:proofErr w:type="gramStart"/>
            <w:r w:rsidRPr="005A4A10">
              <w:rPr>
                <w:rFonts w:cstheme="minorHAnsi"/>
              </w:rPr>
              <w:t>strongly</w:t>
            </w:r>
            <w:proofErr w:type="gramEnd"/>
            <w:r w:rsidRPr="005A4A10">
              <w:rPr>
                <w:rFonts w:cstheme="minorHAnsi"/>
              </w:rPr>
              <w:t xml:space="preserve"> disagree).</w:t>
            </w:r>
          </w:p>
          <w:p w:rsidR="00F93248" w:rsidRDefault="00F93248" w:rsidP="005A4A10">
            <w:pPr>
              <w:pStyle w:val="NoSpacing"/>
              <w:rPr>
                <w:rFonts w:cstheme="minorHAnsi"/>
              </w:rPr>
            </w:pPr>
          </w:p>
          <w:p w:rsidR="00F93248" w:rsidRPr="00F93248" w:rsidRDefault="00F93248" w:rsidP="005A4A1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Administration</w:t>
            </w:r>
            <w:r w:rsidRPr="00DD1C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Self-Administered</w:t>
            </w:r>
            <w:r w:rsidR="00A04B09">
              <w:rPr>
                <w:rFonts w:cstheme="minorHAnsi"/>
              </w:rPr>
              <w:t xml:space="preserve"> paper survey</w:t>
            </w:r>
          </w:p>
          <w:p w:rsidR="00F93248" w:rsidRPr="00DD1C68" w:rsidRDefault="00F93248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Administration Time:</w:t>
            </w:r>
            <w:r w:rsidRPr="00041A85">
              <w:rPr>
                <w:rFonts w:ascii="Verdana" w:hAnsi="Verdan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8F1892">
              <w:rPr>
                <w:rFonts w:cstheme="minorHAnsi"/>
              </w:rPr>
              <w:t>The PSQ-18 takes approximately 3-4 minutes to complete.</w:t>
            </w:r>
          </w:p>
          <w:p w:rsidR="00F93248" w:rsidRPr="008F1892" w:rsidRDefault="00F93248" w:rsidP="0010698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 xml:space="preserve">Language: </w:t>
            </w:r>
            <w:r>
              <w:rPr>
                <w:rFonts w:cstheme="minorHAnsi"/>
              </w:rPr>
              <w:t>English</w:t>
            </w:r>
          </w:p>
          <w:p w:rsidR="00F93248" w:rsidRDefault="00F93248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Cost: </w:t>
            </w:r>
            <w:r>
              <w:rPr>
                <w:rFonts w:cstheme="minorHAnsi"/>
              </w:rPr>
              <w:t>Free</w:t>
            </w:r>
          </w:p>
          <w:p w:rsidR="00F93248" w:rsidRDefault="00F93248" w:rsidP="00106988">
            <w:pPr>
              <w:pStyle w:val="NoSpacing"/>
            </w:pPr>
          </w:p>
        </w:tc>
      </w:tr>
      <w:tr w:rsidR="00F93248" w:rsidRPr="00DD1C68" w:rsidTr="009C3B05">
        <w:trPr>
          <w:wAfter w:w="18" w:type="dxa"/>
        </w:trPr>
        <w:tc>
          <w:tcPr>
            <w:tcW w:w="2178" w:type="dxa"/>
          </w:tcPr>
          <w:p w:rsidR="00F93248" w:rsidRPr="00DD1C68" w:rsidRDefault="00F93248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Scoring</w:t>
            </w:r>
          </w:p>
        </w:tc>
        <w:tc>
          <w:tcPr>
            <w:tcW w:w="7380" w:type="dxa"/>
          </w:tcPr>
          <w:p w:rsidR="00EC7D85" w:rsidRDefault="00F93248" w:rsidP="00912AC9">
            <w:pPr>
              <w:pStyle w:val="NoSpacing"/>
              <w:rPr>
                <w:rFonts w:cstheme="minorHAnsi"/>
              </w:rPr>
            </w:pPr>
            <w:r w:rsidRPr="00912AC9">
              <w:rPr>
                <w:rFonts w:cstheme="minorHAnsi"/>
                <w:b/>
              </w:rPr>
              <w:t>PSQ-III: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Item scoring rules depend on </w:t>
            </w:r>
            <w:r w:rsidRPr="005A4A10">
              <w:rPr>
                <w:rFonts w:cstheme="minorHAnsi"/>
              </w:rPr>
              <w:t>whether the item represents a favorab</w:t>
            </w:r>
            <w:r>
              <w:rPr>
                <w:rFonts w:cstheme="minorHAnsi"/>
              </w:rPr>
              <w:t xml:space="preserve">le or unfavorable opinion about </w:t>
            </w:r>
            <w:r w:rsidRPr="005A4A10">
              <w:rPr>
                <w:rFonts w:cstheme="minorHAnsi"/>
              </w:rPr>
              <w:t>medical care.</w:t>
            </w:r>
            <w:r>
              <w:rPr>
                <w:rFonts w:cstheme="minorHAnsi"/>
              </w:rPr>
              <w:t xml:space="preserve"> Some i</w:t>
            </w:r>
            <w:r w:rsidRPr="00041A85">
              <w:rPr>
                <w:rFonts w:cstheme="minorHAnsi"/>
              </w:rPr>
              <w:t xml:space="preserve">tems are worded so that agreement reflects </w:t>
            </w:r>
            <w:r>
              <w:rPr>
                <w:rFonts w:cstheme="minorHAnsi"/>
              </w:rPr>
              <w:t xml:space="preserve">satisfaction with medical care, </w:t>
            </w:r>
            <w:r w:rsidRPr="00041A85">
              <w:rPr>
                <w:rFonts w:cstheme="minorHAnsi"/>
              </w:rPr>
              <w:t>whereas other items are worded so that agreement reflects dissati</w:t>
            </w:r>
            <w:r>
              <w:rPr>
                <w:rFonts w:cstheme="minorHAnsi"/>
              </w:rPr>
              <w:t xml:space="preserve">sfaction with medical care. All </w:t>
            </w:r>
            <w:r w:rsidRPr="00041A85">
              <w:rPr>
                <w:rFonts w:cstheme="minorHAnsi"/>
              </w:rPr>
              <w:t xml:space="preserve">items should be scored so that high scores reflect </w:t>
            </w:r>
            <w:r>
              <w:rPr>
                <w:rFonts w:cstheme="minorHAnsi"/>
              </w:rPr>
              <w:t xml:space="preserve">satisfaction with medical care. </w:t>
            </w:r>
          </w:p>
          <w:p w:rsidR="00EC7D85" w:rsidRDefault="00EC7D85" w:rsidP="00912AC9">
            <w:pPr>
              <w:pStyle w:val="NoSpacing"/>
              <w:rPr>
                <w:rFonts w:cstheme="minorHAnsi"/>
              </w:rPr>
            </w:pPr>
          </w:p>
          <w:p w:rsidR="00F93248" w:rsidRDefault="00F93248" w:rsidP="00912A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Conversion tables are provided in the scoring instructions, linked below. The highest satisfaction with medical care receives a score of 5, and the lowest satisfaction with medical care receives a score of 1. </w:t>
            </w:r>
          </w:p>
          <w:p w:rsidR="00F93248" w:rsidRDefault="00F93248" w:rsidP="00912AC9">
            <w:pPr>
              <w:pStyle w:val="NoSpacing"/>
              <w:rPr>
                <w:rFonts w:cstheme="minorHAnsi"/>
              </w:rPr>
            </w:pPr>
          </w:p>
          <w:p w:rsidR="00F93248" w:rsidRDefault="00F93248" w:rsidP="00912AC9">
            <w:pPr>
              <w:pStyle w:val="NoSpacing"/>
              <w:rPr>
                <w:rFonts w:cstheme="minorHAnsi"/>
              </w:rPr>
            </w:pPr>
            <w:r w:rsidRPr="00041A85">
              <w:rPr>
                <w:rFonts w:cstheme="minorHAnsi"/>
              </w:rPr>
              <w:t>After item scoring, items within the same subscale should be av</w:t>
            </w:r>
            <w:r>
              <w:rPr>
                <w:rFonts w:cstheme="minorHAnsi"/>
              </w:rPr>
              <w:t>eraged together to create</w:t>
            </w:r>
            <w:r w:rsidR="004475E3">
              <w:rPr>
                <w:rFonts w:cstheme="minorHAnsi"/>
              </w:rPr>
              <w:t xml:space="preserve"> an</w:t>
            </w:r>
            <w:r>
              <w:rPr>
                <w:rFonts w:cstheme="minorHAnsi"/>
              </w:rPr>
              <w:t xml:space="preserve"> </w:t>
            </w:r>
            <w:r w:rsidR="00922E33">
              <w:rPr>
                <w:rFonts w:cstheme="minorHAnsi"/>
              </w:rPr>
              <w:t>individual</w:t>
            </w:r>
            <w:r>
              <w:rPr>
                <w:rFonts w:cstheme="minorHAnsi"/>
              </w:rPr>
              <w:t xml:space="preserve"> </w:t>
            </w:r>
            <w:r w:rsidR="00922E33">
              <w:rPr>
                <w:rFonts w:cstheme="minorHAnsi"/>
              </w:rPr>
              <w:t>"</w:t>
            </w:r>
            <w:r w:rsidR="004475E3">
              <w:rPr>
                <w:rFonts w:cstheme="minorHAnsi"/>
                <w:b/>
              </w:rPr>
              <w:t>subscale score</w:t>
            </w:r>
            <w:r w:rsidR="00922E33">
              <w:rPr>
                <w:rFonts w:cstheme="minorHAnsi"/>
              </w:rPr>
              <w:t>"</w:t>
            </w:r>
            <w:r w:rsidRPr="00041A85">
              <w:rPr>
                <w:rFonts w:cstheme="minorHAnsi"/>
              </w:rPr>
              <w:t xml:space="preserve"> (see Table 2).</w:t>
            </w:r>
            <w:r w:rsidR="00EC7D85">
              <w:rPr>
                <w:rFonts w:cstheme="minorHAnsi"/>
              </w:rPr>
              <w:t xml:space="preserve"> The number of items in each subscale is outlined below: </w:t>
            </w:r>
          </w:p>
          <w:p w:rsidR="00EC7D85" w:rsidRDefault="00EC7D85" w:rsidP="00912AC9">
            <w:pPr>
              <w:pStyle w:val="NoSpacing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1620"/>
              <w:gridCol w:w="1620"/>
            </w:tblGrid>
            <w:tr w:rsidR="00EC7D85" w:rsidTr="00EC7D85">
              <w:tc>
                <w:tcPr>
                  <w:tcW w:w="2587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Subscale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EC7D85" w:rsidRP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 w:rsidRPr="00EC7D85">
                    <w:rPr>
                      <w:rFonts w:cstheme="minorHAnsi"/>
                      <w:b/>
                    </w:rPr>
                    <w:t>PSQ-III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EC7D85" w:rsidRP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 w:rsidRPr="00EC7D85">
                    <w:rPr>
                      <w:rFonts w:cstheme="minorHAnsi"/>
                      <w:b/>
                    </w:rPr>
                    <w:t>PSQ-18</w:t>
                  </w:r>
                </w:p>
              </w:tc>
            </w:tr>
            <w:tr w:rsidR="00EC7D85" w:rsidTr="00EC7D85">
              <w:trPr>
                <w:trHeight w:val="332"/>
              </w:trPr>
              <w:tc>
                <w:tcPr>
                  <w:tcW w:w="2587" w:type="dxa"/>
                </w:tcPr>
                <w:p w:rsidR="00EC7D85" w:rsidRDefault="00EC7D85" w:rsidP="00912AC9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General Satisfaction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 items</w:t>
                  </w:r>
                </w:p>
              </w:tc>
            </w:tr>
            <w:tr w:rsidR="00EC7D85" w:rsidTr="00EC7D85">
              <w:tc>
                <w:tcPr>
                  <w:tcW w:w="2587" w:type="dxa"/>
                </w:tcPr>
                <w:p w:rsidR="00EC7D85" w:rsidRDefault="00EC7D85" w:rsidP="00912AC9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Technical Quality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 items</w:t>
                  </w:r>
                </w:p>
              </w:tc>
            </w:tr>
            <w:tr w:rsidR="00EC7D85" w:rsidTr="00EC7D85">
              <w:tc>
                <w:tcPr>
                  <w:tcW w:w="2587" w:type="dxa"/>
                </w:tcPr>
                <w:p w:rsidR="00EC7D85" w:rsidRDefault="00EC7D85" w:rsidP="00EC7D85">
                  <w:pPr>
                    <w:pStyle w:val="NoSpacing"/>
                    <w:rPr>
                      <w:rFonts w:cstheme="minorHAnsi"/>
                    </w:rPr>
                  </w:pPr>
                  <w:r w:rsidRPr="005A4A10">
                    <w:rPr>
                      <w:rFonts w:cstheme="minorHAnsi"/>
                    </w:rPr>
                    <w:t>Interpersonal Aspects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 items</w:t>
                  </w:r>
                </w:p>
              </w:tc>
            </w:tr>
            <w:tr w:rsidR="00EC7D85" w:rsidTr="00EC7D85">
              <w:tc>
                <w:tcPr>
                  <w:tcW w:w="2587" w:type="dxa"/>
                </w:tcPr>
                <w:p w:rsidR="00EC7D85" w:rsidRDefault="00EC7D85" w:rsidP="00EC7D85">
                  <w:pPr>
                    <w:pStyle w:val="NoSpacing"/>
                    <w:rPr>
                      <w:rFonts w:cstheme="minorHAnsi"/>
                    </w:rPr>
                  </w:pPr>
                  <w:r w:rsidRPr="005A4A10">
                    <w:rPr>
                      <w:rFonts w:cstheme="minorHAnsi"/>
                    </w:rPr>
                    <w:t>Communication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 items</w:t>
                  </w:r>
                </w:p>
              </w:tc>
            </w:tr>
            <w:tr w:rsidR="00EC7D85" w:rsidTr="00EC7D85">
              <w:tc>
                <w:tcPr>
                  <w:tcW w:w="2587" w:type="dxa"/>
                </w:tcPr>
                <w:p w:rsidR="00EC7D85" w:rsidRDefault="00EC7D85" w:rsidP="00EC7D85">
                  <w:pPr>
                    <w:pStyle w:val="NoSpacing"/>
                    <w:rPr>
                      <w:rFonts w:cstheme="minorHAnsi"/>
                    </w:rPr>
                  </w:pPr>
                  <w:r w:rsidRPr="005A4A10">
                    <w:rPr>
                      <w:rFonts w:cstheme="minorHAnsi"/>
                    </w:rPr>
                    <w:t>Financial Aspects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 items</w:t>
                  </w:r>
                </w:p>
              </w:tc>
            </w:tr>
            <w:tr w:rsidR="00EC7D85" w:rsidTr="00EC7D85">
              <w:tc>
                <w:tcPr>
                  <w:tcW w:w="2587" w:type="dxa"/>
                </w:tcPr>
                <w:p w:rsidR="00EC7D85" w:rsidRDefault="00EC7D85" w:rsidP="00EC7D85">
                  <w:pPr>
                    <w:pStyle w:val="NoSpacing"/>
                    <w:rPr>
                      <w:rFonts w:cstheme="minorHAnsi"/>
                    </w:rPr>
                  </w:pPr>
                  <w:r w:rsidRPr="005A4A10">
                    <w:rPr>
                      <w:rFonts w:cstheme="minorHAnsi"/>
                    </w:rPr>
                    <w:t>Time Spent with Doctor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 items</w:t>
                  </w:r>
                </w:p>
              </w:tc>
            </w:tr>
            <w:tr w:rsidR="00EC7D85" w:rsidTr="00EC7D85">
              <w:tc>
                <w:tcPr>
                  <w:tcW w:w="2587" w:type="dxa"/>
                </w:tcPr>
                <w:p w:rsidR="00EC7D85" w:rsidRDefault="00EC7D85" w:rsidP="00EC7D85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Convenience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12 items</w:t>
                  </w:r>
                </w:p>
              </w:tc>
              <w:tc>
                <w:tcPr>
                  <w:tcW w:w="1620" w:type="dxa"/>
                </w:tcPr>
                <w:p w:rsidR="00EC7D85" w:rsidRDefault="00EC7D85" w:rsidP="00EC7D85">
                  <w:pPr>
                    <w:pStyle w:val="NoSpacing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 items</w:t>
                  </w:r>
                </w:p>
              </w:tc>
            </w:tr>
          </w:tbl>
          <w:p w:rsidR="00F93248" w:rsidRDefault="00F93248" w:rsidP="005A4A10">
            <w:pPr>
              <w:pStyle w:val="NoSpacing"/>
              <w:rPr>
                <w:rFonts w:cstheme="minorHAnsi"/>
              </w:rPr>
            </w:pPr>
          </w:p>
          <w:p w:rsidR="00F93248" w:rsidRDefault="00F93248" w:rsidP="008F1892">
            <w:pPr>
              <w:pStyle w:val="NoSpacing"/>
            </w:pPr>
            <w:r>
              <w:rPr>
                <w:rFonts w:cstheme="minorHAnsi"/>
              </w:rPr>
              <w:t>I</w:t>
            </w:r>
            <w:r w:rsidRPr="00041A85">
              <w:rPr>
                <w:rFonts w:cstheme="minorHAnsi"/>
              </w:rPr>
              <w:t>tems left blank by respondents</w:t>
            </w:r>
            <w:r>
              <w:rPr>
                <w:rFonts w:cstheme="minorHAnsi"/>
              </w:rPr>
              <w:t xml:space="preserve"> (missing data) should be ignored when </w:t>
            </w:r>
            <w:r w:rsidRPr="00041A85">
              <w:rPr>
                <w:rFonts w:cstheme="minorHAnsi"/>
              </w:rPr>
              <w:t>calculating scale scores. In other words, scale scores represent th</w:t>
            </w:r>
            <w:r>
              <w:rPr>
                <w:rFonts w:cstheme="minorHAnsi"/>
              </w:rPr>
              <w:t xml:space="preserve">e average for all items in the </w:t>
            </w:r>
            <w:r w:rsidRPr="00041A85">
              <w:rPr>
                <w:rFonts w:cstheme="minorHAnsi"/>
              </w:rPr>
              <w:t>scale that were answered.</w:t>
            </w:r>
            <w:r>
              <w:t xml:space="preserve">  </w:t>
            </w:r>
          </w:p>
          <w:p w:rsidR="00F93248" w:rsidRDefault="00F93248" w:rsidP="005A4A10">
            <w:pPr>
              <w:pStyle w:val="NoSpacing"/>
              <w:rPr>
                <w:rFonts w:cstheme="minorHAnsi"/>
              </w:rPr>
            </w:pPr>
          </w:p>
          <w:p w:rsidR="00F93248" w:rsidRDefault="00F93248" w:rsidP="005A4A1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Guidance for scoring the PSQ-III: </w:t>
            </w:r>
          </w:p>
          <w:p w:rsidR="00F93248" w:rsidRDefault="00C935F4" w:rsidP="005A4A10">
            <w:pPr>
              <w:pStyle w:val="NoSpacing"/>
              <w:rPr>
                <w:rFonts w:cstheme="minorHAnsi"/>
              </w:rPr>
            </w:pPr>
            <w:hyperlink r:id="rId11" w:history="1">
              <w:r w:rsidR="00F93248" w:rsidRPr="00AD749E">
                <w:rPr>
                  <w:rStyle w:val="Hyperlink"/>
                  <w:rFonts w:cstheme="minorHAnsi"/>
                </w:rPr>
                <w:t>http://www.rand.org/content/dam/rand/www/external/health/surveys_tools/psq/psq3_scoring.pdf</w:t>
              </w:r>
            </w:hyperlink>
          </w:p>
          <w:p w:rsidR="00F93248" w:rsidRDefault="00F93248" w:rsidP="00041A85">
            <w:pPr>
              <w:pStyle w:val="NoSpacing"/>
            </w:pPr>
          </w:p>
          <w:p w:rsidR="00F93248" w:rsidRDefault="00F93248" w:rsidP="00041A85">
            <w:pPr>
              <w:pStyle w:val="NoSpacing"/>
            </w:pPr>
            <w:r>
              <w:t>Guidance for scoring the PSQ-18:</w:t>
            </w:r>
          </w:p>
          <w:p w:rsidR="00F93248" w:rsidRDefault="00C935F4" w:rsidP="00041A85">
            <w:pPr>
              <w:pStyle w:val="NoSpacing"/>
              <w:rPr>
                <w:rFonts w:cstheme="minorHAnsi"/>
              </w:rPr>
            </w:pPr>
            <w:hyperlink r:id="rId12" w:history="1">
              <w:r w:rsidR="00F93248" w:rsidRPr="00AD749E">
                <w:rPr>
                  <w:rStyle w:val="Hyperlink"/>
                  <w:rFonts w:cstheme="minorHAnsi"/>
                </w:rPr>
                <w:t>http://www.rand.org/content/dam/rand/www/external/health/surveys_tools/psq/psq18_scoring.pdf</w:t>
              </w:r>
            </w:hyperlink>
          </w:p>
          <w:p w:rsidR="00F93248" w:rsidRPr="008F1892" w:rsidRDefault="00F93248" w:rsidP="00106988">
            <w:pPr>
              <w:pStyle w:val="NoSpacing"/>
              <w:rPr>
                <w:rFonts w:cstheme="minorHAnsi"/>
              </w:rPr>
            </w:pPr>
          </w:p>
        </w:tc>
      </w:tr>
      <w:tr w:rsidR="00F93248" w:rsidRPr="00DD1C68" w:rsidTr="009C3B05">
        <w:trPr>
          <w:wAfter w:w="18" w:type="dxa"/>
        </w:trPr>
        <w:tc>
          <w:tcPr>
            <w:tcW w:w="2178" w:type="dxa"/>
          </w:tcPr>
          <w:p w:rsidR="00F93248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Contacts</w:t>
            </w:r>
          </w:p>
        </w:tc>
        <w:tc>
          <w:tcPr>
            <w:tcW w:w="7380" w:type="dxa"/>
          </w:tcPr>
          <w:p w:rsidR="00F93248" w:rsidRPr="00DD1C68" w:rsidRDefault="00922E33" w:rsidP="00041A85">
            <w:pPr>
              <w:pStyle w:val="NoSpacing"/>
              <w:rPr>
                <w:rFonts w:cstheme="minorHAnsi"/>
              </w:rPr>
            </w:pPr>
            <w:r w:rsidRPr="00922E33">
              <w:rPr>
                <w:rFonts w:cstheme="minorHAnsi"/>
              </w:rPr>
              <w:t>RAND_Health@rand.org</w:t>
            </w:r>
          </w:p>
        </w:tc>
      </w:tr>
      <w:tr w:rsidR="00F93248" w:rsidRPr="00DD1C68" w:rsidTr="009C3B05">
        <w:trPr>
          <w:wAfter w:w="18" w:type="dxa"/>
        </w:trPr>
        <w:tc>
          <w:tcPr>
            <w:tcW w:w="2178" w:type="dxa"/>
          </w:tcPr>
          <w:p w:rsidR="00F93248" w:rsidRPr="00DD1C68" w:rsidRDefault="00F93248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DSRIP-specific modifications to Measure Steward’s specification</w:t>
            </w:r>
          </w:p>
        </w:tc>
        <w:tc>
          <w:tcPr>
            <w:tcW w:w="7380" w:type="dxa"/>
          </w:tcPr>
          <w:p w:rsidR="00F93248" w:rsidRPr="00DD1C68" w:rsidRDefault="00922E33" w:rsidP="00922E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For DSRIP reporting purposes, exclusions for surveys with no response in the subscale selected for reporting. </w:t>
            </w: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Numerator </w:t>
            </w:r>
            <w:r>
              <w:rPr>
                <w:rFonts w:cstheme="minorHAnsi"/>
                <w:b/>
              </w:rPr>
              <w:t>D</w:t>
            </w:r>
            <w:r w:rsidRPr="00DD1C68">
              <w:rPr>
                <w:rFonts w:cstheme="minorHAnsi"/>
                <w:b/>
              </w:rPr>
              <w:t xml:space="preserve">escription </w:t>
            </w:r>
          </w:p>
        </w:tc>
        <w:tc>
          <w:tcPr>
            <w:tcW w:w="7380" w:type="dxa"/>
          </w:tcPr>
          <w:p w:rsidR="00922E33" w:rsidRDefault="00922E33" w:rsidP="00FC17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sum of the selected "</w:t>
            </w:r>
            <w:r w:rsidRPr="004475E3">
              <w:rPr>
                <w:rFonts w:cstheme="minorHAnsi"/>
                <w:b/>
              </w:rPr>
              <w:t>subscale score</w:t>
            </w:r>
            <w:r>
              <w:rPr>
                <w:rFonts w:cstheme="minorHAnsi"/>
              </w:rPr>
              <w:t xml:space="preserve">" from all PSQ-III or PSQ-18 surveys completed during the measurement period. </w:t>
            </w:r>
          </w:p>
          <w:p w:rsidR="00922E33" w:rsidRPr="00DD1C68" w:rsidRDefault="00922E33" w:rsidP="00FC178C">
            <w:pPr>
              <w:pStyle w:val="NoSpacing"/>
              <w:rPr>
                <w:rFonts w:cstheme="minorHAnsi"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Numerator Inclusions</w:t>
            </w:r>
          </w:p>
        </w:tc>
        <w:tc>
          <w:tcPr>
            <w:tcW w:w="7380" w:type="dxa"/>
          </w:tcPr>
          <w:p w:rsidR="00922E33" w:rsidRDefault="00922E33" w:rsidP="00922E33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numerator inclusions beyond what is described in the numerator description.</w:t>
            </w:r>
          </w:p>
          <w:p w:rsidR="00922E33" w:rsidRPr="00DD1C68" w:rsidRDefault="00922E33" w:rsidP="00FC178C">
            <w:pPr>
              <w:pStyle w:val="NoSpacing"/>
              <w:rPr>
                <w:rFonts w:cstheme="minorHAnsi"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Numerator Exclusions</w:t>
            </w:r>
          </w:p>
        </w:tc>
        <w:tc>
          <w:tcPr>
            <w:tcW w:w="7380" w:type="dxa"/>
          </w:tcPr>
          <w:p w:rsidR="00922E33" w:rsidRDefault="00922E33" w:rsidP="00922E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For DSRIP reporting purposes, exclude any survey that provides no response for any item in the subscale selected for reporting. </w:t>
            </w:r>
          </w:p>
          <w:p w:rsidR="004411A3" w:rsidRPr="00DD1C68" w:rsidRDefault="004411A3" w:rsidP="00922E33">
            <w:pPr>
              <w:pStyle w:val="NoSpacing"/>
              <w:rPr>
                <w:rFonts w:cstheme="minorHAnsi"/>
                <w:b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Description </w:t>
            </w:r>
          </w:p>
        </w:tc>
        <w:tc>
          <w:tcPr>
            <w:tcW w:w="7380" w:type="dxa"/>
          </w:tcPr>
          <w:p w:rsidR="00922E33" w:rsidRDefault="00922E33" w:rsidP="00922E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total number of PSQ-III or PSQ-18 surveys completed during the measurement period.</w:t>
            </w:r>
          </w:p>
          <w:p w:rsidR="00922E33" w:rsidRPr="00DD1C68" w:rsidRDefault="00922E33" w:rsidP="00922E33">
            <w:pPr>
              <w:pStyle w:val="NoSpacing"/>
              <w:rPr>
                <w:rFonts w:cstheme="minorHAnsi"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I</w:t>
            </w:r>
            <w:r w:rsidRPr="00DD1C68">
              <w:rPr>
                <w:rFonts w:cstheme="minorHAnsi"/>
                <w:b/>
              </w:rPr>
              <w:t>nclusions</w:t>
            </w:r>
          </w:p>
        </w:tc>
        <w:tc>
          <w:tcPr>
            <w:tcW w:w="7380" w:type="dxa"/>
          </w:tcPr>
          <w:p w:rsidR="00922E33" w:rsidRDefault="00922E33" w:rsidP="00922E33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 xml:space="preserve">The survey developer does not identify specific </w:t>
            </w:r>
            <w:r>
              <w:rPr>
                <w:i/>
              </w:rPr>
              <w:t>denominator</w:t>
            </w:r>
            <w:r w:rsidRPr="005F3EE8">
              <w:rPr>
                <w:i/>
              </w:rPr>
              <w:t xml:space="preserve"> inclusions beyond what is described in the numerator description.</w:t>
            </w:r>
          </w:p>
          <w:p w:rsidR="00922E33" w:rsidRPr="00DD1C68" w:rsidRDefault="00922E33" w:rsidP="00106988">
            <w:pPr>
              <w:pStyle w:val="NoSpacing"/>
              <w:rPr>
                <w:rFonts w:cstheme="minorHAnsi"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E</w:t>
            </w:r>
            <w:r w:rsidRPr="00DD1C68">
              <w:rPr>
                <w:rFonts w:cstheme="minorHAnsi"/>
                <w:b/>
              </w:rPr>
              <w:t>xclusions</w:t>
            </w:r>
          </w:p>
        </w:tc>
        <w:tc>
          <w:tcPr>
            <w:tcW w:w="7380" w:type="dxa"/>
          </w:tcPr>
          <w:p w:rsidR="00922E33" w:rsidRDefault="00922E33" w:rsidP="00922E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 DSRIP reporting purposes, exclude any survey that provides no response for any item in the subscale selected for reporting.</w:t>
            </w:r>
          </w:p>
          <w:p w:rsidR="00922E33" w:rsidRPr="00DD1C68" w:rsidRDefault="00922E33" w:rsidP="00922E3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S</w:t>
            </w:r>
            <w:r w:rsidRPr="00DD1C68">
              <w:rPr>
                <w:rFonts w:cstheme="minorHAnsi"/>
                <w:b/>
              </w:rPr>
              <w:t>ize</w:t>
            </w:r>
          </w:p>
        </w:tc>
        <w:tc>
          <w:tcPr>
            <w:tcW w:w="7380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Providers must report a minimum of 30 cases per measure during a 12-month measurement period (15 cases for a 6-month measurement period)</w:t>
            </w:r>
          </w:p>
          <w:p w:rsidR="00922E33" w:rsidRPr="00DD1C68" w:rsidRDefault="00922E33" w:rsidP="00041A85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For a measurement period (either 6 or 12-months) where the denominator size is less than or equal to 75, providers must report on all cases. No sampling is allowed.</w:t>
            </w:r>
          </w:p>
          <w:p w:rsidR="00922E33" w:rsidRPr="00DD1C68" w:rsidRDefault="00922E33" w:rsidP="00041A85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For a measurement period (either 6 or 12-months) where the denominator size is less than or equal to 380 but greater than 75, providers must report on a random sample of not less than 76 cases.</w:t>
            </w:r>
          </w:p>
          <w:p w:rsidR="00922E33" w:rsidRDefault="00922E33" w:rsidP="00DA0451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For a measurement period (either 6 or 12-months) where the denominator size is greater than </w:t>
            </w:r>
            <w:r w:rsidR="007B599F">
              <w:rPr>
                <w:rFonts w:cstheme="minorHAnsi"/>
              </w:rPr>
              <w:t>380</w:t>
            </w:r>
            <w:r w:rsidRPr="00DD1C68">
              <w:rPr>
                <w:rFonts w:cstheme="minorHAnsi"/>
              </w:rPr>
              <w:t xml:space="preserve">, providers must report on a random sample of cases that is not less than 20% of all cases; however, providers may cap the total sample size at 300 cases. </w:t>
            </w:r>
          </w:p>
          <w:p w:rsidR="004411A3" w:rsidRPr="00DD1C68" w:rsidRDefault="004411A3" w:rsidP="00106988">
            <w:pPr>
              <w:pStyle w:val="NoSpacing"/>
              <w:rPr>
                <w:rFonts w:cstheme="minorHAnsi"/>
              </w:rPr>
            </w:pPr>
          </w:p>
        </w:tc>
      </w:tr>
      <w:tr w:rsidR="00EF339B" w:rsidRPr="00DD1C68" w:rsidTr="009C3B05">
        <w:trPr>
          <w:wAfter w:w="18" w:type="dxa"/>
        </w:trPr>
        <w:tc>
          <w:tcPr>
            <w:tcW w:w="2178" w:type="dxa"/>
          </w:tcPr>
          <w:p w:rsidR="00EF339B" w:rsidRPr="00DD1C68" w:rsidRDefault="00EF339B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>Allowable Denominator Sub-</w:t>
            </w:r>
            <w:r>
              <w:rPr>
                <w:b/>
              </w:rPr>
              <w:lastRenderedPageBreak/>
              <w:t xml:space="preserve">sets </w:t>
            </w:r>
          </w:p>
        </w:tc>
        <w:tc>
          <w:tcPr>
            <w:tcW w:w="7380" w:type="dxa"/>
          </w:tcPr>
          <w:p w:rsidR="00EF339B" w:rsidRDefault="00EF339B" w:rsidP="00A90194">
            <w:pPr>
              <w:pStyle w:val="NoSpacing"/>
            </w:pPr>
            <w:r>
              <w:lastRenderedPageBreak/>
              <w:t>All denominator subsets are permissible for this outcome</w:t>
            </w:r>
          </w:p>
          <w:p w:rsidR="00EF339B" w:rsidRPr="00DD1C68" w:rsidRDefault="00EF339B" w:rsidP="00106988">
            <w:pPr>
              <w:pStyle w:val="NoSpacing"/>
              <w:rPr>
                <w:rFonts w:cstheme="minorHAnsi"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Additional Considerations for Providers</w:t>
            </w:r>
          </w:p>
        </w:tc>
        <w:tc>
          <w:tcPr>
            <w:tcW w:w="7380" w:type="dxa"/>
          </w:tcPr>
          <w:p w:rsidR="00922E33" w:rsidRDefault="004411A3" w:rsidP="00106988">
            <w:pPr>
              <w:pStyle w:val="NoSpacing"/>
              <w:rPr>
                <w:rFonts w:cstheme="minorHAnsi"/>
              </w:rPr>
            </w:pPr>
            <w:r w:rsidRPr="004411A3">
              <w:rPr>
                <w:rFonts w:cstheme="minorHAnsi"/>
              </w:rPr>
              <w:t>Providers should for follow survey administration, sampling, and scoring guidelines, unless a DSRIP specific modification has been noted. Surveys are validated in their entirety and providers should plan on using as specified by the survey developer.</w:t>
            </w:r>
          </w:p>
          <w:p w:rsidR="004411A3" w:rsidRPr="00DD1C68" w:rsidRDefault="004411A3" w:rsidP="00106988">
            <w:pPr>
              <w:pStyle w:val="NoSpacing"/>
              <w:rPr>
                <w:rFonts w:cstheme="minorHAnsi"/>
              </w:rPr>
            </w:pPr>
          </w:p>
        </w:tc>
      </w:tr>
      <w:tr w:rsidR="00922E33" w:rsidRPr="00DD1C68" w:rsidTr="009C3B05">
        <w:trPr>
          <w:wAfter w:w="18" w:type="dxa"/>
        </w:trPr>
        <w:tc>
          <w:tcPr>
            <w:tcW w:w="2178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Data Source</w:t>
            </w:r>
          </w:p>
        </w:tc>
        <w:tc>
          <w:tcPr>
            <w:tcW w:w="7380" w:type="dxa"/>
          </w:tcPr>
          <w:p w:rsidR="00922E33" w:rsidRPr="00DD1C68" w:rsidRDefault="00922E33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Survey report</w:t>
            </w:r>
          </w:p>
        </w:tc>
      </w:tr>
    </w:tbl>
    <w:p w:rsidR="009C3B05" w:rsidRPr="00A352F7" w:rsidRDefault="009C3B05" w:rsidP="009C3B05">
      <w:pPr>
        <w:tabs>
          <w:tab w:val="left" w:pos="1425"/>
        </w:tabs>
      </w:pPr>
      <w:bookmarkStart w:id="0" w:name="_GoBack"/>
      <w:bookmarkEnd w:id="0"/>
    </w:p>
    <w:p w:rsidR="00356CF4" w:rsidRPr="008F249E" w:rsidRDefault="00356CF4" w:rsidP="008F249E"/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D1" w:rsidRDefault="00A04B09">
      <w:pPr>
        <w:spacing w:after="0" w:line="240" w:lineRule="auto"/>
      </w:pPr>
      <w:r>
        <w:separator/>
      </w:r>
    </w:p>
  </w:endnote>
  <w:endnote w:type="continuationSeparator" w:id="0">
    <w:p w:rsidR="00B01FD1" w:rsidRDefault="00A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9B" w:rsidRDefault="00EF339B">
    <w:pPr>
      <w:pStyle w:val="Footer"/>
    </w:pPr>
    <w:r>
      <w:t>09/29/14</w:t>
    </w:r>
  </w:p>
  <w:p w:rsidR="00EF339B" w:rsidRDefault="00EF3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D1" w:rsidRDefault="00A04B09">
      <w:pPr>
        <w:spacing w:after="0" w:line="240" w:lineRule="auto"/>
      </w:pPr>
      <w:r>
        <w:separator/>
      </w:r>
    </w:p>
  </w:footnote>
  <w:footnote w:type="continuationSeparator" w:id="0">
    <w:p w:rsidR="00B01FD1" w:rsidRDefault="00A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91" w:rsidRPr="00A36AF5" w:rsidRDefault="00C935F4" w:rsidP="00F63191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5067"/>
    <w:multiLevelType w:val="hybridMultilevel"/>
    <w:tmpl w:val="964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1E43"/>
    <w:multiLevelType w:val="hybridMultilevel"/>
    <w:tmpl w:val="30C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22CB9"/>
    <w:multiLevelType w:val="hybridMultilevel"/>
    <w:tmpl w:val="F4F6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10F89"/>
    <w:multiLevelType w:val="hybridMultilevel"/>
    <w:tmpl w:val="61F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5B2"/>
    <w:multiLevelType w:val="hybridMultilevel"/>
    <w:tmpl w:val="6CCC6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85"/>
    <w:rsid w:val="00041A85"/>
    <w:rsid w:val="000D5A2D"/>
    <w:rsid w:val="00245754"/>
    <w:rsid w:val="00356CF4"/>
    <w:rsid w:val="003844DB"/>
    <w:rsid w:val="004411A3"/>
    <w:rsid w:val="004475E3"/>
    <w:rsid w:val="00502BE4"/>
    <w:rsid w:val="005A4A10"/>
    <w:rsid w:val="005F4D43"/>
    <w:rsid w:val="007B599F"/>
    <w:rsid w:val="008072BC"/>
    <w:rsid w:val="00831427"/>
    <w:rsid w:val="008F1892"/>
    <w:rsid w:val="008F249E"/>
    <w:rsid w:val="00912AC9"/>
    <w:rsid w:val="00922E33"/>
    <w:rsid w:val="00996DD5"/>
    <w:rsid w:val="009C3B05"/>
    <w:rsid w:val="00A04B09"/>
    <w:rsid w:val="00A11BD9"/>
    <w:rsid w:val="00B01FD1"/>
    <w:rsid w:val="00B65D92"/>
    <w:rsid w:val="00BA61F1"/>
    <w:rsid w:val="00CC28BC"/>
    <w:rsid w:val="00DA0451"/>
    <w:rsid w:val="00E43145"/>
    <w:rsid w:val="00EA7376"/>
    <w:rsid w:val="00EC7D85"/>
    <w:rsid w:val="00EF339B"/>
    <w:rsid w:val="00F64CD1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85"/>
  </w:style>
  <w:style w:type="paragraph" w:styleId="Heading1">
    <w:name w:val="heading 1"/>
    <w:basedOn w:val="Normal"/>
    <w:next w:val="Normal"/>
    <w:link w:val="Heading1Char"/>
    <w:uiPriority w:val="9"/>
    <w:qFormat/>
    <w:rsid w:val="00041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041A85"/>
    <w:pPr>
      <w:spacing w:after="0" w:line="240" w:lineRule="auto"/>
    </w:pPr>
  </w:style>
  <w:style w:type="table" w:styleId="TableGrid">
    <w:name w:val="Table Grid"/>
    <w:basedOn w:val="TableNormal"/>
    <w:uiPriority w:val="59"/>
    <w:rsid w:val="0004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1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85"/>
  </w:style>
  <w:style w:type="paragraph" w:customStyle="1" w:styleId="Default">
    <w:name w:val="Default"/>
    <w:rsid w:val="00041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7D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9F"/>
  </w:style>
  <w:style w:type="paragraph" w:styleId="BalloonText">
    <w:name w:val="Balloon Text"/>
    <w:basedOn w:val="Normal"/>
    <w:link w:val="BalloonTextChar"/>
    <w:uiPriority w:val="99"/>
    <w:semiHidden/>
    <w:unhideWhenUsed/>
    <w:rsid w:val="007B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85"/>
  </w:style>
  <w:style w:type="paragraph" w:styleId="Heading1">
    <w:name w:val="heading 1"/>
    <w:basedOn w:val="Normal"/>
    <w:next w:val="Normal"/>
    <w:link w:val="Heading1Char"/>
    <w:uiPriority w:val="9"/>
    <w:qFormat/>
    <w:rsid w:val="00041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041A85"/>
    <w:pPr>
      <w:spacing w:after="0" w:line="240" w:lineRule="auto"/>
    </w:pPr>
  </w:style>
  <w:style w:type="table" w:styleId="TableGrid">
    <w:name w:val="Table Grid"/>
    <w:basedOn w:val="TableNormal"/>
    <w:uiPriority w:val="59"/>
    <w:rsid w:val="0004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1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85"/>
  </w:style>
  <w:style w:type="paragraph" w:customStyle="1" w:styleId="Default">
    <w:name w:val="Default"/>
    <w:rsid w:val="00041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7D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9F"/>
  </w:style>
  <w:style w:type="paragraph" w:styleId="BalloonText">
    <w:name w:val="Balloon Text"/>
    <w:basedOn w:val="Normal"/>
    <w:link w:val="BalloonTextChar"/>
    <w:uiPriority w:val="99"/>
    <w:semiHidden/>
    <w:unhideWhenUsed/>
    <w:rsid w:val="007B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.org/health/surveys_tools/psq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nd.org/content/dam/rand/www/external/health/surveys_tools/psq/psq18_scori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nd.org/content/dam/rand/www/external/health/surveys_tools/psq/psq3_scor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nd.org/content/dam/rand/www/external/health/surveys_tools/psq/psq18_surv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d.org/content/dam/rand/www/external/health/surveys_tools/psq/psq3_surve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Gaughen,Noelle (HHSC)</dc:creator>
  <cp:lastModifiedBy>Windows User</cp:lastModifiedBy>
  <cp:revision>2</cp:revision>
  <dcterms:created xsi:type="dcterms:W3CDTF">2014-09-29T16:56:00Z</dcterms:created>
  <dcterms:modified xsi:type="dcterms:W3CDTF">2014-09-29T16:56:00Z</dcterms:modified>
</cp:coreProperties>
</file>