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6B" w:rsidRDefault="00AD706B" w:rsidP="00AD706B">
      <w:pPr>
        <w:pStyle w:val="Heading1"/>
      </w:pPr>
      <w:r>
        <w:t>IT-</w:t>
      </w:r>
      <w:r w:rsidR="002D4499">
        <w:t>5.3</w:t>
      </w:r>
      <w:r>
        <w:t xml:space="preserve">:  </w:t>
      </w:r>
      <w:r w:rsidR="002D4499" w:rsidRPr="002D4499">
        <w:t>Total Cost of Care</w:t>
      </w:r>
    </w:p>
    <w:tbl>
      <w:tblPr>
        <w:tblStyle w:val="TableGrid"/>
        <w:tblW w:w="0" w:type="auto"/>
        <w:tblLook w:val="04A0" w:firstRow="1" w:lastRow="0" w:firstColumn="1" w:lastColumn="0" w:noHBand="0" w:noVBand="1"/>
      </w:tblPr>
      <w:tblGrid>
        <w:gridCol w:w="2718"/>
        <w:gridCol w:w="6858"/>
      </w:tblGrid>
      <w:tr w:rsidR="00AD706B" w:rsidTr="0011709A">
        <w:trPr>
          <w:tblHeader/>
        </w:trPr>
        <w:tc>
          <w:tcPr>
            <w:tcW w:w="2718" w:type="dxa"/>
            <w:shd w:val="clear" w:color="auto" w:fill="F2F2F2" w:themeFill="background1" w:themeFillShade="F2"/>
          </w:tcPr>
          <w:p w:rsidR="00AD706B" w:rsidRPr="00717546" w:rsidRDefault="00AD706B" w:rsidP="00F4349D">
            <w:pPr>
              <w:pStyle w:val="NoSpacing"/>
              <w:rPr>
                <w:b/>
              </w:rPr>
            </w:pPr>
            <w:r w:rsidRPr="00717546">
              <w:rPr>
                <w:b/>
              </w:rPr>
              <w:t>Measure Title</w:t>
            </w:r>
          </w:p>
        </w:tc>
        <w:tc>
          <w:tcPr>
            <w:tcW w:w="6858" w:type="dxa"/>
            <w:shd w:val="clear" w:color="auto" w:fill="F2F2F2" w:themeFill="background1" w:themeFillShade="F2"/>
          </w:tcPr>
          <w:p w:rsidR="00AD706B" w:rsidRPr="00953E8A" w:rsidRDefault="00417018" w:rsidP="00B05CBF">
            <w:pPr>
              <w:pStyle w:val="NoSpacing"/>
              <w:rPr>
                <w:b/>
              </w:rPr>
            </w:pPr>
            <w:r w:rsidRPr="00953E8A">
              <w:rPr>
                <w:b/>
              </w:rPr>
              <w:t xml:space="preserve">IT-5.3 </w:t>
            </w:r>
            <w:r w:rsidR="002D4499" w:rsidRPr="00953E8A">
              <w:rPr>
                <w:b/>
              </w:rPr>
              <w:t>Total Cost of Care</w:t>
            </w:r>
          </w:p>
        </w:tc>
      </w:tr>
      <w:tr w:rsidR="00AD706B" w:rsidTr="00F4349D">
        <w:tc>
          <w:tcPr>
            <w:tcW w:w="2718" w:type="dxa"/>
          </w:tcPr>
          <w:p w:rsidR="00AD706B" w:rsidRPr="00717546" w:rsidRDefault="00AD706B" w:rsidP="00F4349D">
            <w:pPr>
              <w:pStyle w:val="NoSpacing"/>
              <w:rPr>
                <w:b/>
              </w:rPr>
            </w:pPr>
            <w:r w:rsidRPr="00717546">
              <w:rPr>
                <w:b/>
              </w:rPr>
              <w:t>Description</w:t>
            </w:r>
          </w:p>
        </w:tc>
        <w:tc>
          <w:tcPr>
            <w:tcW w:w="6858" w:type="dxa"/>
          </w:tcPr>
          <w:p w:rsidR="007D1AFA" w:rsidRDefault="007D1AFA" w:rsidP="007D1AFA">
            <w:pPr>
              <w:pStyle w:val="NoSpacing"/>
            </w:pPr>
            <w:r w:rsidRPr="007D1AFA">
              <w:t xml:space="preserve">Total Cost of Care reflects a mix of complicated factors such as patient illness burden, service utilization and negotiated prices. </w:t>
            </w:r>
          </w:p>
          <w:p w:rsidR="007D1AFA" w:rsidRDefault="007D1AFA" w:rsidP="007D1AFA">
            <w:pPr>
              <w:pStyle w:val="NoSpacing"/>
            </w:pPr>
            <w:r w:rsidRPr="007D1AFA">
              <w:t xml:space="preserve">Total Cost Index (TCI) is a measure of a primary care provider’s risk adjusted cost effectiveness at managing the population they care for. TCI includes all costs associated with treating members including professional, facility inpatient and outpatient, pharmacy, lab, radiology, ancillary and behavioral health services. </w:t>
            </w:r>
          </w:p>
          <w:p w:rsidR="00AD706B" w:rsidRDefault="007D1AFA" w:rsidP="007D1AFA">
            <w:pPr>
              <w:pStyle w:val="NoSpacing"/>
            </w:pPr>
            <w:r w:rsidRPr="007D1AFA">
              <w:t xml:space="preserve">A Total Cost of Care Index when viewed together with a </w:t>
            </w:r>
            <w:r w:rsidRPr="00283BD2">
              <w:rPr>
                <w:u w:val="single"/>
              </w:rPr>
              <w:t>Resource Use measure</w:t>
            </w:r>
            <w:r w:rsidRPr="007D1AFA">
              <w:t xml:space="preserve"> provides a more complete picture of population based drivers of health care costs.</w:t>
            </w:r>
          </w:p>
          <w:p w:rsidR="00283BD2" w:rsidRPr="00283BD2" w:rsidRDefault="00283BD2" w:rsidP="00283BD2">
            <w:pPr>
              <w:pStyle w:val="NoSpacing"/>
              <w:rPr>
                <w:b/>
                <w:bCs/>
              </w:rPr>
            </w:pPr>
            <w:r w:rsidRPr="00283BD2">
              <w:rPr>
                <w:b/>
                <w:bCs/>
              </w:rPr>
              <w:t>Type of Resource Use Measure:</w:t>
            </w:r>
          </w:p>
          <w:p w:rsidR="00283BD2" w:rsidRPr="00283BD2" w:rsidRDefault="00283BD2" w:rsidP="00283BD2">
            <w:pPr>
              <w:pStyle w:val="NoSpacing"/>
              <w:numPr>
                <w:ilvl w:val="0"/>
                <w:numId w:val="16"/>
              </w:numPr>
            </w:pPr>
            <w:r w:rsidRPr="00283BD2">
              <w:t>Per capita (population- or patient-based)</w:t>
            </w:r>
          </w:p>
          <w:p w:rsidR="00283BD2" w:rsidRPr="00283BD2" w:rsidRDefault="00283BD2" w:rsidP="00283BD2">
            <w:pPr>
              <w:pStyle w:val="NoSpacing"/>
              <w:rPr>
                <w:b/>
                <w:bCs/>
              </w:rPr>
            </w:pPr>
            <w:r w:rsidRPr="00283BD2">
              <w:rPr>
                <w:b/>
                <w:bCs/>
              </w:rPr>
              <w:t>Resource Use Service Categories:</w:t>
            </w:r>
          </w:p>
          <w:p w:rsidR="00283BD2" w:rsidRPr="00283BD2" w:rsidRDefault="00283BD2" w:rsidP="00283BD2">
            <w:pPr>
              <w:pStyle w:val="NoSpacing"/>
              <w:numPr>
                <w:ilvl w:val="0"/>
                <w:numId w:val="17"/>
              </w:numPr>
            </w:pPr>
            <w:r w:rsidRPr="00283BD2">
              <w:t>Inpatient services: Inpatient facility services</w:t>
            </w:r>
          </w:p>
          <w:p w:rsidR="00283BD2" w:rsidRPr="00283BD2" w:rsidRDefault="00283BD2" w:rsidP="00283BD2">
            <w:pPr>
              <w:pStyle w:val="NoSpacing"/>
              <w:numPr>
                <w:ilvl w:val="0"/>
                <w:numId w:val="17"/>
              </w:numPr>
            </w:pPr>
            <w:r w:rsidRPr="00283BD2">
              <w:t>Inpatient services: Evaluation and management</w:t>
            </w:r>
          </w:p>
          <w:p w:rsidR="00283BD2" w:rsidRPr="00283BD2" w:rsidRDefault="00283BD2" w:rsidP="00283BD2">
            <w:pPr>
              <w:pStyle w:val="NoSpacing"/>
              <w:numPr>
                <w:ilvl w:val="0"/>
                <w:numId w:val="17"/>
              </w:numPr>
            </w:pPr>
            <w:r w:rsidRPr="00283BD2">
              <w:t>Inpatient services: Procedures and surgeries</w:t>
            </w:r>
          </w:p>
          <w:p w:rsidR="00283BD2" w:rsidRPr="00283BD2" w:rsidRDefault="00283BD2" w:rsidP="00283BD2">
            <w:pPr>
              <w:pStyle w:val="NoSpacing"/>
              <w:numPr>
                <w:ilvl w:val="0"/>
                <w:numId w:val="17"/>
              </w:numPr>
            </w:pPr>
            <w:r w:rsidRPr="00283BD2">
              <w:t>Inpatient services: Imaging and diagnostic</w:t>
            </w:r>
          </w:p>
          <w:p w:rsidR="00283BD2" w:rsidRPr="00283BD2" w:rsidRDefault="00283BD2" w:rsidP="00283BD2">
            <w:pPr>
              <w:pStyle w:val="NoSpacing"/>
              <w:numPr>
                <w:ilvl w:val="0"/>
                <w:numId w:val="17"/>
              </w:numPr>
            </w:pPr>
            <w:r w:rsidRPr="00283BD2">
              <w:t>Inpatient services: Lab services</w:t>
            </w:r>
          </w:p>
          <w:p w:rsidR="00283BD2" w:rsidRPr="00283BD2" w:rsidRDefault="00283BD2" w:rsidP="00283BD2">
            <w:pPr>
              <w:pStyle w:val="NoSpacing"/>
              <w:numPr>
                <w:ilvl w:val="0"/>
                <w:numId w:val="17"/>
              </w:numPr>
            </w:pPr>
            <w:r w:rsidRPr="00283BD2">
              <w:t>Inpatient services: Admissions/discharges</w:t>
            </w:r>
          </w:p>
          <w:p w:rsidR="00283BD2" w:rsidRPr="00283BD2" w:rsidRDefault="00283BD2" w:rsidP="00283BD2">
            <w:pPr>
              <w:pStyle w:val="NoSpacing"/>
              <w:numPr>
                <w:ilvl w:val="0"/>
                <w:numId w:val="17"/>
              </w:numPr>
            </w:pPr>
            <w:r w:rsidRPr="00283BD2">
              <w:t>Inpatient services: Labor (hours, FTE, etc.)</w:t>
            </w:r>
          </w:p>
          <w:p w:rsidR="00283BD2" w:rsidRPr="00283BD2" w:rsidRDefault="00283BD2" w:rsidP="00283BD2">
            <w:pPr>
              <w:pStyle w:val="NoSpacing"/>
              <w:numPr>
                <w:ilvl w:val="0"/>
                <w:numId w:val="17"/>
              </w:numPr>
            </w:pPr>
            <w:r w:rsidRPr="00283BD2">
              <w:t>Ambulatory services: Outpatient facility services</w:t>
            </w:r>
          </w:p>
          <w:p w:rsidR="00283BD2" w:rsidRPr="00283BD2" w:rsidRDefault="00283BD2" w:rsidP="00283BD2">
            <w:pPr>
              <w:pStyle w:val="NoSpacing"/>
              <w:numPr>
                <w:ilvl w:val="0"/>
                <w:numId w:val="17"/>
              </w:numPr>
            </w:pPr>
            <w:r w:rsidRPr="00283BD2">
              <w:t>Ambulatory services: Emergency Department</w:t>
            </w:r>
          </w:p>
          <w:p w:rsidR="00283BD2" w:rsidRPr="00283BD2" w:rsidRDefault="00283BD2" w:rsidP="00283BD2">
            <w:pPr>
              <w:pStyle w:val="NoSpacing"/>
              <w:numPr>
                <w:ilvl w:val="0"/>
                <w:numId w:val="17"/>
              </w:numPr>
            </w:pPr>
            <w:r w:rsidRPr="00283BD2">
              <w:t>Ambulatory services: Pharmacy</w:t>
            </w:r>
          </w:p>
          <w:p w:rsidR="00283BD2" w:rsidRPr="00283BD2" w:rsidRDefault="00283BD2" w:rsidP="00283BD2">
            <w:pPr>
              <w:pStyle w:val="NoSpacing"/>
              <w:numPr>
                <w:ilvl w:val="0"/>
                <w:numId w:val="17"/>
              </w:numPr>
            </w:pPr>
            <w:r w:rsidRPr="00283BD2">
              <w:t>Ambulatory services: Evaluation and management</w:t>
            </w:r>
          </w:p>
          <w:p w:rsidR="00283BD2" w:rsidRPr="00283BD2" w:rsidRDefault="00283BD2" w:rsidP="00283BD2">
            <w:pPr>
              <w:pStyle w:val="NoSpacing"/>
              <w:numPr>
                <w:ilvl w:val="0"/>
                <w:numId w:val="17"/>
              </w:numPr>
            </w:pPr>
            <w:r w:rsidRPr="00283BD2">
              <w:t>Ambulatory services: Procedures and surgeries</w:t>
            </w:r>
          </w:p>
          <w:p w:rsidR="00283BD2" w:rsidRPr="00283BD2" w:rsidRDefault="00283BD2" w:rsidP="00283BD2">
            <w:pPr>
              <w:pStyle w:val="NoSpacing"/>
              <w:numPr>
                <w:ilvl w:val="0"/>
                <w:numId w:val="17"/>
              </w:numPr>
            </w:pPr>
            <w:r w:rsidRPr="00283BD2">
              <w:t>Ambulatory services: Imaging and diagnostic</w:t>
            </w:r>
          </w:p>
          <w:p w:rsidR="00283BD2" w:rsidRPr="00283BD2" w:rsidRDefault="00283BD2" w:rsidP="00283BD2">
            <w:pPr>
              <w:pStyle w:val="NoSpacing"/>
              <w:numPr>
                <w:ilvl w:val="0"/>
                <w:numId w:val="17"/>
              </w:numPr>
            </w:pPr>
            <w:r w:rsidRPr="00283BD2">
              <w:t>Ambulatory services: Lab services</w:t>
            </w:r>
          </w:p>
          <w:p w:rsidR="00283BD2" w:rsidRPr="00283BD2" w:rsidRDefault="00283BD2" w:rsidP="00283BD2">
            <w:pPr>
              <w:pStyle w:val="NoSpacing"/>
              <w:numPr>
                <w:ilvl w:val="0"/>
                <w:numId w:val="17"/>
              </w:numPr>
            </w:pPr>
            <w:r w:rsidRPr="00283BD2">
              <w:t>Ambulatory services: Labor (hours, FTE, etc.)</w:t>
            </w:r>
          </w:p>
          <w:p w:rsidR="00283BD2" w:rsidRDefault="00283BD2" w:rsidP="00283BD2">
            <w:pPr>
              <w:pStyle w:val="NoSpacing"/>
              <w:numPr>
                <w:ilvl w:val="0"/>
                <w:numId w:val="17"/>
              </w:numPr>
            </w:pPr>
            <w:r w:rsidRPr="00283BD2">
              <w:t>Durable Medical Equipment (DME)</w:t>
            </w:r>
          </w:p>
        </w:tc>
      </w:tr>
      <w:tr w:rsidR="00AD706B" w:rsidTr="00F4349D">
        <w:tc>
          <w:tcPr>
            <w:tcW w:w="2718" w:type="dxa"/>
          </w:tcPr>
          <w:p w:rsidR="00AD706B" w:rsidRPr="00717546" w:rsidRDefault="00AD706B" w:rsidP="00F4349D">
            <w:pPr>
              <w:pStyle w:val="NoSpacing"/>
              <w:rPr>
                <w:b/>
              </w:rPr>
            </w:pPr>
            <w:r w:rsidRPr="00717546">
              <w:rPr>
                <w:b/>
              </w:rPr>
              <w:t>NQF Number</w:t>
            </w:r>
          </w:p>
        </w:tc>
        <w:tc>
          <w:tcPr>
            <w:tcW w:w="6858" w:type="dxa"/>
          </w:tcPr>
          <w:p w:rsidR="00AD706B" w:rsidRDefault="007D1AFA" w:rsidP="00417018">
            <w:pPr>
              <w:pStyle w:val="NoSpacing"/>
            </w:pPr>
            <w:r>
              <w:t>1604</w:t>
            </w:r>
          </w:p>
        </w:tc>
      </w:tr>
      <w:tr w:rsidR="00AD706B" w:rsidTr="00F4349D">
        <w:tc>
          <w:tcPr>
            <w:tcW w:w="2718" w:type="dxa"/>
          </w:tcPr>
          <w:p w:rsidR="00AD706B" w:rsidRPr="00717546" w:rsidRDefault="00AD706B" w:rsidP="00F4349D">
            <w:pPr>
              <w:pStyle w:val="NoSpacing"/>
              <w:rPr>
                <w:b/>
              </w:rPr>
            </w:pPr>
            <w:r>
              <w:rPr>
                <w:b/>
              </w:rPr>
              <w:t>Measure Steward</w:t>
            </w:r>
          </w:p>
        </w:tc>
        <w:tc>
          <w:tcPr>
            <w:tcW w:w="6858" w:type="dxa"/>
          </w:tcPr>
          <w:p w:rsidR="00AD706B" w:rsidRPr="00631E85" w:rsidRDefault="007D1AFA" w:rsidP="00F4349D">
            <w:pPr>
              <w:pStyle w:val="NoSpacing"/>
            </w:pPr>
            <w:r>
              <w:t>HealthPartners</w:t>
            </w:r>
          </w:p>
        </w:tc>
      </w:tr>
      <w:tr w:rsidR="00AD706B" w:rsidTr="00F4349D">
        <w:tc>
          <w:tcPr>
            <w:tcW w:w="2718" w:type="dxa"/>
          </w:tcPr>
          <w:p w:rsidR="00AD706B" w:rsidRDefault="00AD706B" w:rsidP="00F4349D">
            <w:pPr>
              <w:pStyle w:val="NoSpacing"/>
              <w:rPr>
                <w:b/>
              </w:rPr>
            </w:pPr>
            <w:r>
              <w:rPr>
                <w:b/>
              </w:rPr>
              <w:t>Link to measure citation</w:t>
            </w:r>
          </w:p>
        </w:tc>
        <w:tc>
          <w:tcPr>
            <w:tcW w:w="6858" w:type="dxa"/>
          </w:tcPr>
          <w:p w:rsidR="00AD706B" w:rsidRPr="00631E85" w:rsidRDefault="00811F09" w:rsidP="007D1AFA">
            <w:pPr>
              <w:pStyle w:val="NoSpacing"/>
            </w:pPr>
            <w:hyperlink r:id="rId12" w:history="1">
              <w:r w:rsidR="007D1AFA" w:rsidRPr="00347DA5">
                <w:rPr>
                  <w:rStyle w:val="Hyperlink"/>
                </w:rPr>
                <w:t>http://www.qualityforum.org</w:t>
              </w:r>
            </w:hyperlink>
            <w:r w:rsidR="007D1AFA">
              <w:t xml:space="preserve"> </w:t>
            </w:r>
          </w:p>
        </w:tc>
      </w:tr>
      <w:tr w:rsidR="00AD706B" w:rsidTr="00F4349D">
        <w:tc>
          <w:tcPr>
            <w:tcW w:w="2718" w:type="dxa"/>
          </w:tcPr>
          <w:p w:rsidR="00AD706B" w:rsidRDefault="00AD706B" w:rsidP="00F4349D">
            <w:pPr>
              <w:pStyle w:val="NoSpacing"/>
              <w:rPr>
                <w:b/>
              </w:rPr>
            </w:pPr>
            <w:r>
              <w:rPr>
                <w:b/>
              </w:rPr>
              <w:t>Measure type</w:t>
            </w:r>
          </w:p>
        </w:tc>
        <w:tc>
          <w:tcPr>
            <w:tcW w:w="6858" w:type="dxa"/>
          </w:tcPr>
          <w:p w:rsidR="006208D7" w:rsidRDefault="006208D7" w:rsidP="00AD706B">
            <w:pPr>
              <w:pStyle w:val="NoSpacing"/>
            </w:pPr>
            <w:r>
              <w:t>SA for project area 2.5</w:t>
            </w:r>
          </w:p>
          <w:p w:rsidR="00AD706B" w:rsidRDefault="006208D7" w:rsidP="00AD706B">
            <w:pPr>
              <w:pStyle w:val="NoSpacing"/>
            </w:pPr>
            <w:r w:rsidRPr="006208D7">
              <w:t>NSA for all other project areas</w:t>
            </w:r>
          </w:p>
        </w:tc>
      </w:tr>
      <w:tr w:rsidR="00417018" w:rsidTr="00F4349D">
        <w:tc>
          <w:tcPr>
            <w:tcW w:w="2718" w:type="dxa"/>
          </w:tcPr>
          <w:p w:rsidR="00417018" w:rsidRDefault="00417018" w:rsidP="00F4349D">
            <w:pPr>
              <w:pStyle w:val="NoSpacing"/>
              <w:rPr>
                <w:b/>
              </w:rPr>
            </w:pPr>
            <w:r>
              <w:rPr>
                <w:b/>
              </w:rPr>
              <w:t xml:space="preserve">Performance and Achievement Type </w:t>
            </w:r>
          </w:p>
        </w:tc>
        <w:tc>
          <w:tcPr>
            <w:tcW w:w="6858" w:type="dxa"/>
          </w:tcPr>
          <w:p w:rsidR="00417018" w:rsidRDefault="00417018" w:rsidP="00B410EB">
            <w:pPr>
              <w:pStyle w:val="NoSpacing"/>
            </w:pPr>
            <w:r>
              <w:t>Pay for Performance (P4P) – Improvement Over Self (IOS): Prior Authorization</w:t>
            </w:r>
          </w:p>
          <w:tbl>
            <w:tblPr>
              <w:tblStyle w:val="TableGrid"/>
              <w:tblW w:w="0" w:type="auto"/>
              <w:tblLook w:val="04A0" w:firstRow="1" w:lastRow="0" w:firstColumn="1" w:lastColumn="0" w:noHBand="0" w:noVBand="1"/>
            </w:tblPr>
            <w:tblGrid>
              <w:gridCol w:w="2209"/>
              <w:gridCol w:w="2209"/>
              <w:gridCol w:w="2209"/>
            </w:tblGrid>
            <w:tr w:rsidR="00417018" w:rsidRPr="008331B0" w:rsidTr="00B410EB">
              <w:tc>
                <w:tcPr>
                  <w:tcW w:w="2209" w:type="dxa"/>
                </w:tcPr>
                <w:p w:rsidR="00417018" w:rsidRPr="008331B0" w:rsidRDefault="00417018" w:rsidP="00B410EB">
                  <w:pPr>
                    <w:pStyle w:val="NoSpacing"/>
                  </w:pPr>
                </w:p>
              </w:tc>
              <w:tc>
                <w:tcPr>
                  <w:tcW w:w="2209" w:type="dxa"/>
                </w:tcPr>
                <w:p w:rsidR="00417018" w:rsidRPr="008331B0" w:rsidRDefault="00417018" w:rsidP="00B410EB">
                  <w:pPr>
                    <w:pStyle w:val="NoSpacing"/>
                    <w:jc w:val="center"/>
                  </w:pPr>
                  <w:r w:rsidRPr="008331B0">
                    <w:t>DY4</w:t>
                  </w:r>
                </w:p>
                <w:p w:rsidR="00417018" w:rsidRPr="008331B0" w:rsidRDefault="00417018" w:rsidP="00B410EB">
                  <w:pPr>
                    <w:pStyle w:val="NoSpacing"/>
                    <w:jc w:val="center"/>
                  </w:pPr>
                </w:p>
              </w:tc>
              <w:tc>
                <w:tcPr>
                  <w:tcW w:w="2209" w:type="dxa"/>
                </w:tcPr>
                <w:p w:rsidR="00417018" w:rsidRPr="008331B0" w:rsidRDefault="00417018" w:rsidP="00B410EB">
                  <w:pPr>
                    <w:pStyle w:val="NoSpacing"/>
                    <w:jc w:val="center"/>
                  </w:pPr>
                  <w:r w:rsidRPr="008331B0">
                    <w:t>DY5</w:t>
                  </w:r>
                </w:p>
                <w:p w:rsidR="00417018" w:rsidRPr="008331B0" w:rsidRDefault="00417018" w:rsidP="00B410EB">
                  <w:pPr>
                    <w:pStyle w:val="NoSpacing"/>
                    <w:jc w:val="center"/>
                  </w:pPr>
                </w:p>
              </w:tc>
            </w:tr>
            <w:tr w:rsidR="00417018" w:rsidRPr="008331B0" w:rsidTr="00B410EB">
              <w:tc>
                <w:tcPr>
                  <w:tcW w:w="2209" w:type="dxa"/>
                </w:tcPr>
                <w:p w:rsidR="00417018" w:rsidRPr="008331B0" w:rsidRDefault="00417018" w:rsidP="00B410EB">
                  <w:pPr>
                    <w:pStyle w:val="NoSpacing"/>
                    <w:jc w:val="center"/>
                  </w:pPr>
                  <w:r>
                    <w:t>Achievement Level Calculation</w:t>
                  </w:r>
                </w:p>
              </w:tc>
              <w:tc>
                <w:tcPr>
                  <w:tcW w:w="2209" w:type="dxa"/>
                </w:tcPr>
                <w:p w:rsidR="00417018" w:rsidRDefault="00417018" w:rsidP="00B410EB">
                  <w:pPr>
                    <w:pStyle w:val="NoSpacing"/>
                    <w:jc w:val="center"/>
                  </w:pPr>
                  <w:r w:rsidRPr="00EA4A39">
                    <w:t xml:space="preserve">Baseline </w:t>
                  </w:r>
                  <w:r>
                    <w:t>-</w:t>
                  </w:r>
                  <w:r w:rsidRPr="00EA4A39">
                    <w:t xml:space="preserve"> 5% *(performance gap)</w:t>
                  </w:r>
                </w:p>
                <w:p w:rsidR="00417018" w:rsidRDefault="00417018" w:rsidP="00B410EB">
                  <w:pPr>
                    <w:pStyle w:val="NoSpacing"/>
                    <w:jc w:val="center"/>
                  </w:pPr>
                  <w:r w:rsidRPr="00EA4A39">
                    <w:t>=</w:t>
                  </w:r>
                </w:p>
                <w:p w:rsidR="00417018" w:rsidRPr="008331B0" w:rsidRDefault="00417018" w:rsidP="00B410EB">
                  <w:pPr>
                    <w:pStyle w:val="NoSpacing"/>
                    <w:jc w:val="center"/>
                  </w:pPr>
                  <w:r w:rsidRPr="00EA4A39">
                    <w:t xml:space="preserve">Baseline </w:t>
                  </w:r>
                  <w:r>
                    <w:t>-</w:t>
                  </w:r>
                  <w:r w:rsidRPr="00EA4A39">
                    <w:t xml:space="preserve"> 5% *(</w:t>
                  </w:r>
                  <w:r>
                    <w:t>0</w:t>
                  </w:r>
                  <w:r w:rsidRPr="00EA4A39">
                    <w:t xml:space="preserve">% – </w:t>
                  </w:r>
                  <w:r>
                    <w:t>B</w:t>
                  </w:r>
                  <w:r w:rsidRPr="00EA4A39">
                    <w:t>aseline rate)</w:t>
                  </w:r>
                </w:p>
              </w:tc>
              <w:tc>
                <w:tcPr>
                  <w:tcW w:w="2209" w:type="dxa"/>
                </w:tcPr>
                <w:p w:rsidR="00417018" w:rsidRDefault="00417018" w:rsidP="00B410EB">
                  <w:pPr>
                    <w:pStyle w:val="NoSpacing"/>
                    <w:jc w:val="center"/>
                  </w:pPr>
                  <w:r w:rsidRPr="00EA4A39">
                    <w:t xml:space="preserve">Baseline </w:t>
                  </w:r>
                  <w:r>
                    <w:t>-</w:t>
                  </w:r>
                  <w:r w:rsidRPr="00EA4A39">
                    <w:t xml:space="preserve"> </w:t>
                  </w:r>
                  <w:r>
                    <w:t>10</w:t>
                  </w:r>
                  <w:r w:rsidRPr="00EA4A39">
                    <w:t>% *(performance gap)</w:t>
                  </w:r>
                </w:p>
                <w:p w:rsidR="00417018" w:rsidRDefault="00417018" w:rsidP="00B410EB">
                  <w:pPr>
                    <w:pStyle w:val="NoSpacing"/>
                    <w:jc w:val="center"/>
                  </w:pPr>
                  <w:r w:rsidRPr="00EA4A39">
                    <w:t>=</w:t>
                  </w:r>
                </w:p>
                <w:p w:rsidR="00417018" w:rsidRPr="008331B0" w:rsidRDefault="00417018" w:rsidP="00B410EB">
                  <w:pPr>
                    <w:pStyle w:val="NoSpacing"/>
                    <w:jc w:val="center"/>
                  </w:pPr>
                  <w:r w:rsidRPr="00EA4A39">
                    <w:t xml:space="preserve">Baseline </w:t>
                  </w:r>
                  <w:r>
                    <w:t>-</w:t>
                  </w:r>
                  <w:r w:rsidRPr="00EA4A39">
                    <w:t xml:space="preserve"> </w:t>
                  </w:r>
                  <w:r>
                    <w:t>10% *(</w:t>
                  </w:r>
                  <w:r w:rsidRPr="00EA4A39">
                    <w:t xml:space="preserve">0% – </w:t>
                  </w:r>
                  <w:r>
                    <w:t>B</w:t>
                  </w:r>
                  <w:r w:rsidRPr="00EA4A39">
                    <w:t>aseline rate)</w:t>
                  </w:r>
                </w:p>
              </w:tc>
            </w:tr>
          </w:tbl>
          <w:p w:rsidR="00417018" w:rsidRDefault="00417018" w:rsidP="004851B2">
            <w:pPr>
              <w:pStyle w:val="NoSpacing"/>
            </w:pPr>
          </w:p>
        </w:tc>
      </w:tr>
      <w:tr w:rsidR="00AD706B" w:rsidTr="00F4349D">
        <w:tc>
          <w:tcPr>
            <w:tcW w:w="2718" w:type="dxa"/>
          </w:tcPr>
          <w:p w:rsidR="00AD706B" w:rsidRPr="00717546" w:rsidRDefault="00AD706B" w:rsidP="00F4349D">
            <w:pPr>
              <w:pStyle w:val="NoSpacing"/>
              <w:rPr>
                <w:b/>
              </w:rPr>
            </w:pPr>
            <w:r>
              <w:rPr>
                <w:b/>
              </w:rPr>
              <w:lastRenderedPageBreak/>
              <w:t>DSRIP-specific modifications to Measure Steward’s specification</w:t>
            </w:r>
          </w:p>
        </w:tc>
        <w:tc>
          <w:tcPr>
            <w:tcW w:w="6858" w:type="dxa"/>
          </w:tcPr>
          <w:p w:rsidR="00AD706B" w:rsidRDefault="007D1AFA" w:rsidP="007D1AFA">
            <w:pPr>
              <w:pStyle w:val="NoSpacing"/>
            </w:pPr>
            <w:r>
              <w:t xml:space="preserve">The only modification is changing designation of “member” to “patient”, in order to be consistent throughout the document to avoid confusion between applicability of the measure to a (managed care) plan rather than an individual provider. </w:t>
            </w:r>
            <w:r w:rsidRPr="007D1AFA">
              <w:rPr>
                <w:u w:val="single"/>
              </w:rPr>
              <w:t>However, this is a population-based measure that applies to all service categories, care settings and conditions</w:t>
            </w:r>
            <w:r w:rsidRPr="007D1AFA">
              <w:t>.</w:t>
            </w:r>
          </w:p>
        </w:tc>
      </w:tr>
      <w:tr w:rsidR="00AD706B" w:rsidTr="00F4349D">
        <w:tc>
          <w:tcPr>
            <w:tcW w:w="2718" w:type="dxa"/>
          </w:tcPr>
          <w:p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tcPr>
          <w:p w:rsidR="00AD706B" w:rsidRPr="009F7E66" w:rsidRDefault="007D1AFA" w:rsidP="000B747E">
            <w:pPr>
              <w:pStyle w:val="NoSpacing"/>
            </w:pPr>
            <w:r>
              <w:t>None</w:t>
            </w:r>
          </w:p>
        </w:tc>
      </w:tr>
      <w:tr w:rsidR="00B05CBF" w:rsidTr="007D1AFA">
        <w:tc>
          <w:tcPr>
            <w:tcW w:w="2718" w:type="dxa"/>
          </w:tcPr>
          <w:p w:rsidR="00B05CBF" w:rsidRPr="00717546" w:rsidRDefault="00B05CBF" w:rsidP="00C01E6F">
            <w:pPr>
              <w:pStyle w:val="NoSpacing"/>
              <w:rPr>
                <w:b/>
              </w:rPr>
            </w:pPr>
            <w:r>
              <w:rPr>
                <w:b/>
              </w:rPr>
              <w:t>Denominator Inclusions</w:t>
            </w:r>
          </w:p>
        </w:tc>
        <w:tc>
          <w:tcPr>
            <w:tcW w:w="6858" w:type="dxa"/>
          </w:tcPr>
          <w:p w:rsidR="00B05CBF" w:rsidRPr="0012650D" w:rsidRDefault="006B0DE1" w:rsidP="00F4349D">
            <w:pPr>
              <w:pStyle w:val="NoSpacing"/>
              <w:rPr>
                <w:b/>
              </w:rPr>
            </w:pPr>
            <w:r w:rsidRPr="006B0DE1">
              <w:t>None</w:t>
            </w:r>
          </w:p>
        </w:tc>
      </w:tr>
      <w:tr w:rsidR="00B05CBF" w:rsidTr="007D1AFA">
        <w:tc>
          <w:tcPr>
            <w:tcW w:w="2718" w:type="dxa"/>
          </w:tcPr>
          <w:p w:rsidR="00B05CBF" w:rsidRPr="00717546" w:rsidRDefault="00B05CBF" w:rsidP="00C01E6F">
            <w:pPr>
              <w:pStyle w:val="NoSpacing"/>
              <w:rPr>
                <w:b/>
              </w:rPr>
            </w:pPr>
            <w:r>
              <w:rPr>
                <w:b/>
              </w:rPr>
              <w:t>Denominator Exclusions</w:t>
            </w:r>
          </w:p>
        </w:tc>
        <w:tc>
          <w:tcPr>
            <w:tcW w:w="6858" w:type="dxa"/>
          </w:tcPr>
          <w:p w:rsidR="00B05CBF" w:rsidRPr="001D6BEA" w:rsidRDefault="006B0DE1" w:rsidP="00F4349D">
            <w:pPr>
              <w:pStyle w:val="NoSpacing"/>
            </w:pPr>
            <w:r w:rsidRPr="006B0DE1">
              <w:t>None</w:t>
            </w:r>
          </w:p>
        </w:tc>
      </w:tr>
      <w:tr w:rsidR="00D63CD3" w:rsidTr="00F4349D">
        <w:tc>
          <w:tcPr>
            <w:tcW w:w="2718" w:type="dxa"/>
          </w:tcPr>
          <w:p w:rsidR="00D63CD3" w:rsidRDefault="00D63CD3" w:rsidP="00F4349D">
            <w:pPr>
              <w:pStyle w:val="NoSpacing"/>
              <w:rPr>
                <w:b/>
              </w:rPr>
            </w:pPr>
            <w:r>
              <w:rPr>
                <w:b/>
              </w:rPr>
              <w:t>Denominator Size</w:t>
            </w:r>
          </w:p>
        </w:tc>
        <w:tc>
          <w:tcPr>
            <w:tcW w:w="6858" w:type="dxa"/>
          </w:tcPr>
          <w:p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rsidR="0032246B" w:rsidRPr="001D6BEA" w:rsidRDefault="0032246B" w:rsidP="004851B2">
            <w:pPr>
              <w:pStyle w:val="NoSpacing"/>
              <w:numPr>
                <w:ilvl w:val="0"/>
                <w:numId w:val="8"/>
              </w:numPr>
            </w:pPr>
            <w:r>
              <w:t xml:space="preserve">For a measurement period </w:t>
            </w:r>
            <w:r w:rsidR="0011709A">
              <w:t>(either 6 or 12-months) where the denominator size</w:t>
            </w:r>
            <w:r>
              <w:t xml:space="preserve"> is greater than </w:t>
            </w:r>
            <w:r w:rsidR="004851B2">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rsidTr="00F4349D">
        <w:tc>
          <w:tcPr>
            <w:tcW w:w="2718" w:type="dxa"/>
          </w:tcPr>
          <w:p w:rsidR="00AC3A97" w:rsidRPr="00717546" w:rsidRDefault="00AC3A97" w:rsidP="00F4349D">
            <w:pPr>
              <w:pStyle w:val="NoSpacing"/>
              <w:rPr>
                <w:b/>
              </w:rPr>
            </w:pPr>
            <w:r>
              <w:rPr>
                <w:b/>
              </w:rPr>
              <w:t xml:space="preserve">Numerator Description </w:t>
            </w:r>
          </w:p>
        </w:tc>
        <w:tc>
          <w:tcPr>
            <w:tcW w:w="6858" w:type="dxa"/>
          </w:tcPr>
          <w:p w:rsidR="00D42CB1" w:rsidRPr="009F7E66" w:rsidRDefault="00811F09" w:rsidP="000B747E">
            <w:pPr>
              <w:pStyle w:val="NoSpacing"/>
            </w:pPr>
            <w:r>
              <w:t>Total c</w:t>
            </w:r>
            <w:bookmarkStart w:id="0" w:name="_GoBack"/>
            <w:bookmarkEnd w:id="0"/>
            <w:r>
              <w:t>ost of care</w:t>
            </w:r>
          </w:p>
        </w:tc>
      </w:tr>
      <w:tr w:rsidR="00AC3A97" w:rsidTr="00F4349D">
        <w:tc>
          <w:tcPr>
            <w:tcW w:w="2718" w:type="dxa"/>
          </w:tcPr>
          <w:p w:rsidR="00AC3A97" w:rsidRPr="00717546" w:rsidRDefault="00AC3A97" w:rsidP="00F4349D">
            <w:pPr>
              <w:pStyle w:val="NoSpacing"/>
              <w:rPr>
                <w:b/>
              </w:rPr>
            </w:pPr>
            <w:r>
              <w:rPr>
                <w:b/>
              </w:rPr>
              <w:t>Numerator Inclusions</w:t>
            </w:r>
          </w:p>
        </w:tc>
        <w:tc>
          <w:tcPr>
            <w:tcW w:w="6858" w:type="dxa"/>
          </w:tcPr>
          <w:p w:rsidR="00AC3A97" w:rsidRPr="00AA27B0" w:rsidRDefault="00AA27B0" w:rsidP="006B0DE1">
            <w:pPr>
              <w:pStyle w:val="NoSpacing"/>
            </w:pPr>
            <w:r w:rsidRPr="00AA27B0">
              <w:t>None</w:t>
            </w:r>
          </w:p>
        </w:tc>
      </w:tr>
      <w:tr w:rsidR="00AC3A97" w:rsidTr="00F4349D">
        <w:tc>
          <w:tcPr>
            <w:tcW w:w="2718" w:type="dxa"/>
          </w:tcPr>
          <w:p w:rsidR="00AC3A97" w:rsidRPr="00717546" w:rsidRDefault="00AC3A97" w:rsidP="00F4349D">
            <w:pPr>
              <w:pStyle w:val="NoSpacing"/>
              <w:rPr>
                <w:b/>
              </w:rPr>
            </w:pPr>
            <w:r>
              <w:rPr>
                <w:b/>
              </w:rPr>
              <w:t>Numerator Exclusions</w:t>
            </w:r>
          </w:p>
        </w:tc>
        <w:tc>
          <w:tcPr>
            <w:tcW w:w="6858" w:type="dxa"/>
          </w:tcPr>
          <w:p w:rsidR="00AC3A97" w:rsidRPr="001D6BEA" w:rsidRDefault="006B0DE1" w:rsidP="00F4349D">
            <w:pPr>
              <w:pStyle w:val="NoSpacing"/>
            </w:pPr>
            <w:r>
              <w:t>None</w:t>
            </w:r>
          </w:p>
        </w:tc>
      </w:tr>
      <w:tr w:rsidR="00AD706B" w:rsidTr="00F4349D">
        <w:tc>
          <w:tcPr>
            <w:tcW w:w="2718" w:type="dxa"/>
          </w:tcPr>
          <w:p w:rsidR="00AD706B" w:rsidRPr="00717546" w:rsidRDefault="00AD706B" w:rsidP="00F4349D">
            <w:pPr>
              <w:pStyle w:val="NoSpacing"/>
              <w:rPr>
                <w:b/>
              </w:rPr>
            </w:pPr>
            <w:r>
              <w:rPr>
                <w:b/>
              </w:rPr>
              <w:t>Setting</w:t>
            </w:r>
          </w:p>
        </w:tc>
        <w:tc>
          <w:tcPr>
            <w:tcW w:w="6858" w:type="dxa"/>
          </w:tcPr>
          <w:p w:rsidR="00AD706B" w:rsidRDefault="00CD7069" w:rsidP="00CD7069">
            <w:pPr>
              <w:pStyle w:val="NoSpacing"/>
            </w:pPr>
            <w:r>
              <w:t>Multiple</w:t>
            </w:r>
          </w:p>
        </w:tc>
      </w:tr>
      <w:tr w:rsidR="00AD706B" w:rsidTr="00F4349D">
        <w:tc>
          <w:tcPr>
            <w:tcW w:w="2718" w:type="dxa"/>
          </w:tcPr>
          <w:p w:rsidR="00AD706B" w:rsidRDefault="00AD706B" w:rsidP="00F4349D">
            <w:pPr>
              <w:pStyle w:val="NoSpacing"/>
              <w:rPr>
                <w:b/>
              </w:rPr>
            </w:pPr>
            <w:r>
              <w:rPr>
                <w:b/>
              </w:rPr>
              <w:t>Data Source</w:t>
            </w:r>
          </w:p>
        </w:tc>
        <w:tc>
          <w:tcPr>
            <w:tcW w:w="6858" w:type="dxa"/>
          </w:tcPr>
          <w:p w:rsidR="00AD706B" w:rsidRDefault="00F07413" w:rsidP="006B0DE1">
            <w:pPr>
              <w:pStyle w:val="NoSpacing"/>
            </w:pPr>
            <w:r>
              <w:t>Administrative Claims</w:t>
            </w:r>
          </w:p>
        </w:tc>
      </w:tr>
      <w:tr w:rsidR="00417018" w:rsidTr="00F4349D">
        <w:tc>
          <w:tcPr>
            <w:tcW w:w="2718" w:type="dxa"/>
          </w:tcPr>
          <w:p w:rsidR="00417018" w:rsidRPr="00717546" w:rsidRDefault="00417018" w:rsidP="00F05C01">
            <w:pPr>
              <w:pStyle w:val="NoSpacing"/>
              <w:rPr>
                <w:b/>
              </w:rPr>
            </w:pPr>
            <w:r>
              <w:rPr>
                <w:b/>
              </w:rPr>
              <w:t>Allowable Denominator Sub-sets</w:t>
            </w:r>
          </w:p>
        </w:tc>
        <w:tc>
          <w:tcPr>
            <w:tcW w:w="6858" w:type="dxa"/>
          </w:tcPr>
          <w:p w:rsidR="00417018" w:rsidRDefault="00417018" w:rsidP="00B410EB">
            <w:pPr>
              <w:pStyle w:val="NoSpacing"/>
            </w:pPr>
            <w:r>
              <w:t>All denominator subsets are permissible for this outcome</w:t>
            </w:r>
          </w:p>
          <w:p w:rsidR="00417018" w:rsidRDefault="00417018" w:rsidP="007F7C07">
            <w:pPr>
              <w:pStyle w:val="NoSpacing"/>
            </w:pPr>
            <w:r>
              <w:t> </w:t>
            </w:r>
          </w:p>
        </w:tc>
      </w:tr>
    </w:tbl>
    <w:p w:rsidR="00356CF4" w:rsidRPr="008F249E" w:rsidRDefault="00356CF4" w:rsidP="007C7C85">
      <w:pPr>
        <w:pStyle w:val="Heading2"/>
      </w:pPr>
    </w:p>
    <w:sectPr w:rsidR="00356CF4" w:rsidRPr="008F249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1D" w:rsidRDefault="00EF4F1D" w:rsidP="00F63191">
      <w:pPr>
        <w:spacing w:after="0" w:line="240" w:lineRule="auto"/>
      </w:pPr>
      <w:r>
        <w:separator/>
      </w:r>
    </w:p>
  </w:endnote>
  <w:endnote w:type="continuationSeparator" w:id="0">
    <w:p w:rsidR="00EF4F1D" w:rsidRDefault="00EF4F1D"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CA" w:rsidRDefault="00A929CA">
    <w:pPr>
      <w:pStyle w:val="Footer"/>
    </w:pPr>
    <w:r>
      <w:t>09/</w:t>
    </w:r>
    <w:r w:rsidR="0091581D">
      <w:t>25</w:t>
    </w:r>
    <w:r>
      <w:t>/14</w:t>
    </w:r>
  </w:p>
  <w:p w:rsidR="004851B2" w:rsidRDefault="00485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1D" w:rsidRDefault="00EF4F1D" w:rsidP="00F63191">
      <w:pPr>
        <w:spacing w:after="0" w:line="240" w:lineRule="auto"/>
      </w:pPr>
      <w:r>
        <w:separator/>
      </w:r>
    </w:p>
  </w:footnote>
  <w:footnote w:type="continuationSeparator" w:id="0">
    <w:p w:rsidR="00EF4F1D" w:rsidRDefault="00EF4F1D" w:rsidP="00F63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B66"/>
    <w:multiLevelType w:val="multilevel"/>
    <w:tmpl w:val="ABD4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915EA"/>
    <w:multiLevelType w:val="multilevel"/>
    <w:tmpl w:val="D3DE932C"/>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C721B2"/>
    <w:multiLevelType w:val="multilevel"/>
    <w:tmpl w:val="3FD4F444"/>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ind w:left="3600" w:hanging="180"/>
      </w:pPr>
      <w:rPr>
        <w:rFonts w:ascii="Symbol" w:hAnsi="Symbol" w:hint="default"/>
      </w:rPr>
    </w:lvl>
    <w:lvl w:ilvl="3">
      <w:start w:val="1"/>
      <w:numFmt w:val="decimal"/>
      <w:lvlText w:val="%4."/>
      <w:lvlJc w:val="left"/>
      <w:pPr>
        <w:ind w:left="4320" w:hanging="360"/>
      </w:pPr>
      <w:rPr>
        <w:rFonts w:cs="Times New Roman" w:hint="default"/>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7">
    <w:nsid w:val="21113A90"/>
    <w:multiLevelType w:val="multilevel"/>
    <w:tmpl w:val="C198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F61DA"/>
    <w:multiLevelType w:val="hybridMultilevel"/>
    <w:tmpl w:val="481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16770"/>
    <w:multiLevelType w:val="multilevel"/>
    <w:tmpl w:val="3FD4F44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52A4F"/>
    <w:multiLevelType w:val="multilevel"/>
    <w:tmpl w:val="A0F6965C"/>
    <w:lvl w:ilvl="0">
      <w:start w:val="1"/>
      <w:numFmt w:val="bullet"/>
      <w:lvlText w:val=""/>
      <w:lvlJc w:val="left"/>
      <w:pPr>
        <w:ind w:left="2160" w:hanging="360"/>
      </w:pPr>
      <w:rPr>
        <w:rFonts w:ascii="Symbol" w:hAnsi="Symbol" w:hint="default"/>
      </w:rPr>
    </w:lvl>
    <w:lvl w:ilvl="1">
      <w:start w:val="1"/>
      <w:numFmt w:val="lowerLetter"/>
      <w:lvlText w:val="%2."/>
      <w:lvlJc w:val="left"/>
      <w:pPr>
        <w:ind w:left="2880" w:hanging="360"/>
      </w:pPr>
      <w:rPr>
        <w:rFonts w:hint="default"/>
      </w:rPr>
    </w:lvl>
    <w:lvl w:ilvl="2">
      <w:start w:val="1"/>
      <w:numFmt w:val="bullet"/>
      <w:lvlText w:val=""/>
      <w:lvlJc w:val="left"/>
      <w:pPr>
        <w:ind w:left="3600" w:hanging="180"/>
      </w:pPr>
      <w:rPr>
        <w:rFonts w:ascii="Symbol" w:hAnsi="Symbol" w:hint="default"/>
      </w:rPr>
    </w:lvl>
    <w:lvl w:ilvl="3">
      <w:start w:val="1"/>
      <w:numFmt w:val="decimal"/>
      <w:lvlText w:val="%4."/>
      <w:lvlJc w:val="left"/>
      <w:pPr>
        <w:ind w:left="4320" w:hanging="360"/>
      </w:pPr>
      <w:rPr>
        <w:rFonts w:cs="Times New Roman" w:hint="default"/>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16">
    <w:nsid w:val="6B7231F6"/>
    <w:multiLevelType w:val="multilevel"/>
    <w:tmpl w:val="3FD4F44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C2662"/>
    <w:multiLevelType w:val="multilevel"/>
    <w:tmpl w:val="175223A0"/>
    <w:lvl w:ilvl="0">
      <w:start w:val="6"/>
      <w:numFmt w:val="lowerRoman"/>
      <w:lvlText w:val="%1."/>
      <w:lvlJc w:val="right"/>
      <w:pPr>
        <w:ind w:left="1800" w:hanging="360"/>
      </w:pPr>
      <w:rPr>
        <w:rFonts w:cs="Times New Roman" w:hint="default"/>
      </w:rPr>
    </w:lvl>
    <w:lvl w:ilvl="1">
      <w:start w:val="1"/>
      <w:numFmt w:val="decimal"/>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lowerLetter"/>
      <w:lvlText w:val="%4."/>
      <w:lvlJc w:val="left"/>
      <w:pPr>
        <w:ind w:left="3960" w:hanging="360"/>
      </w:pPr>
      <w:rPr>
        <w:rFonts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num w:numId="1">
    <w:abstractNumId w:val="2"/>
  </w:num>
  <w:num w:numId="2">
    <w:abstractNumId w:val="1"/>
  </w:num>
  <w:num w:numId="3">
    <w:abstractNumId w:val="14"/>
  </w:num>
  <w:num w:numId="4">
    <w:abstractNumId w:val="13"/>
  </w:num>
  <w:num w:numId="5">
    <w:abstractNumId w:val="4"/>
  </w:num>
  <w:num w:numId="6">
    <w:abstractNumId w:val="10"/>
  </w:num>
  <w:num w:numId="7">
    <w:abstractNumId w:val="17"/>
  </w:num>
  <w:num w:numId="8">
    <w:abstractNumId w:val="11"/>
  </w:num>
  <w:num w:numId="9">
    <w:abstractNumId w:val="15"/>
  </w:num>
  <w:num w:numId="10">
    <w:abstractNumId w:val="8"/>
  </w:num>
  <w:num w:numId="11">
    <w:abstractNumId w:val="12"/>
  </w:num>
  <w:num w:numId="12">
    <w:abstractNumId w:val="6"/>
  </w:num>
  <w:num w:numId="13">
    <w:abstractNumId w:val="16"/>
  </w:num>
  <w:num w:numId="14">
    <w:abstractNumId w:val="3"/>
  </w:num>
  <w:num w:numId="15">
    <w:abstractNumId w:val="18"/>
  </w:num>
  <w:num w:numId="16">
    <w:abstractNumId w:val="7"/>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B747E"/>
    <w:rsid w:val="000D1199"/>
    <w:rsid w:val="000D5A2D"/>
    <w:rsid w:val="000E7EED"/>
    <w:rsid w:val="00100A2F"/>
    <w:rsid w:val="00107C1A"/>
    <w:rsid w:val="0011709A"/>
    <w:rsid w:val="00160110"/>
    <w:rsid w:val="00165D76"/>
    <w:rsid w:val="001D1B44"/>
    <w:rsid w:val="001D6BEA"/>
    <w:rsid w:val="002224F0"/>
    <w:rsid w:val="00245754"/>
    <w:rsid w:val="00271E53"/>
    <w:rsid w:val="00283BD2"/>
    <w:rsid w:val="002845C2"/>
    <w:rsid w:val="002D4499"/>
    <w:rsid w:val="00304584"/>
    <w:rsid w:val="0032246B"/>
    <w:rsid w:val="00346B8D"/>
    <w:rsid w:val="00356CF4"/>
    <w:rsid w:val="00366D0B"/>
    <w:rsid w:val="00375652"/>
    <w:rsid w:val="00383516"/>
    <w:rsid w:val="003844DB"/>
    <w:rsid w:val="003A409E"/>
    <w:rsid w:val="003F4E8D"/>
    <w:rsid w:val="00416E44"/>
    <w:rsid w:val="00417018"/>
    <w:rsid w:val="004851B2"/>
    <w:rsid w:val="00502BE4"/>
    <w:rsid w:val="00506BC5"/>
    <w:rsid w:val="00521B7A"/>
    <w:rsid w:val="00536799"/>
    <w:rsid w:val="005802A0"/>
    <w:rsid w:val="005857E6"/>
    <w:rsid w:val="005B79DD"/>
    <w:rsid w:val="005C70A1"/>
    <w:rsid w:val="005E7640"/>
    <w:rsid w:val="005F4D43"/>
    <w:rsid w:val="006208D7"/>
    <w:rsid w:val="006B0DE1"/>
    <w:rsid w:val="006D02F1"/>
    <w:rsid w:val="00743628"/>
    <w:rsid w:val="00760D27"/>
    <w:rsid w:val="007B1BE6"/>
    <w:rsid w:val="007C728B"/>
    <w:rsid w:val="007C7C85"/>
    <w:rsid w:val="007D1AFA"/>
    <w:rsid w:val="007E0395"/>
    <w:rsid w:val="007F675B"/>
    <w:rsid w:val="007F7C07"/>
    <w:rsid w:val="00811F09"/>
    <w:rsid w:val="00823868"/>
    <w:rsid w:val="00827557"/>
    <w:rsid w:val="0088642E"/>
    <w:rsid w:val="00886E0E"/>
    <w:rsid w:val="008A5405"/>
    <w:rsid w:val="008D1A8E"/>
    <w:rsid w:val="008F249E"/>
    <w:rsid w:val="0091581D"/>
    <w:rsid w:val="00953E8A"/>
    <w:rsid w:val="00965A2A"/>
    <w:rsid w:val="00967948"/>
    <w:rsid w:val="00994A41"/>
    <w:rsid w:val="00996DD5"/>
    <w:rsid w:val="009C6EA3"/>
    <w:rsid w:val="009F7E66"/>
    <w:rsid w:val="00A11BD9"/>
    <w:rsid w:val="00A82574"/>
    <w:rsid w:val="00A929CA"/>
    <w:rsid w:val="00AA27B0"/>
    <w:rsid w:val="00AC3A97"/>
    <w:rsid w:val="00AD706B"/>
    <w:rsid w:val="00B05CBF"/>
    <w:rsid w:val="00B20462"/>
    <w:rsid w:val="00B546CF"/>
    <w:rsid w:val="00B65D92"/>
    <w:rsid w:val="00B876A1"/>
    <w:rsid w:val="00BA61F1"/>
    <w:rsid w:val="00BC4643"/>
    <w:rsid w:val="00C01E6F"/>
    <w:rsid w:val="00C86C48"/>
    <w:rsid w:val="00C9758A"/>
    <w:rsid w:val="00CA2D3E"/>
    <w:rsid w:val="00CA4C08"/>
    <w:rsid w:val="00CC28BC"/>
    <w:rsid w:val="00CD7069"/>
    <w:rsid w:val="00D1777E"/>
    <w:rsid w:val="00D42CB1"/>
    <w:rsid w:val="00D63CD3"/>
    <w:rsid w:val="00DE554C"/>
    <w:rsid w:val="00DE660A"/>
    <w:rsid w:val="00E43145"/>
    <w:rsid w:val="00EB6678"/>
    <w:rsid w:val="00EF333D"/>
    <w:rsid w:val="00EF4F1D"/>
    <w:rsid w:val="00F05C01"/>
    <w:rsid w:val="00F069C3"/>
    <w:rsid w:val="00F06C5E"/>
    <w:rsid w:val="00F07413"/>
    <w:rsid w:val="00F20443"/>
    <w:rsid w:val="00F4349D"/>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styleId="FootnoteText">
    <w:name w:val="footnote text"/>
    <w:basedOn w:val="Normal"/>
    <w:link w:val="FootnoteTextChar"/>
    <w:uiPriority w:val="99"/>
    <w:semiHidden/>
    <w:unhideWhenUsed/>
    <w:rsid w:val="00EF4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F1D"/>
    <w:rPr>
      <w:sz w:val="20"/>
      <w:szCs w:val="20"/>
    </w:rPr>
  </w:style>
  <w:style w:type="character" w:styleId="FootnoteReference">
    <w:name w:val="footnote reference"/>
    <w:basedOn w:val="DefaultParagraphFont"/>
    <w:uiPriority w:val="99"/>
    <w:semiHidden/>
    <w:unhideWhenUsed/>
    <w:rsid w:val="00EF4F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styleId="FootnoteText">
    <w:name w:val="footnote text"/>
    <w:basedOn w:val="Normal"/>
    <w:link w:val="FootnoteTextChar"/>
    <w:uiPriority w:val="99"/>
    <w:semiHidden/>
    <w:unhideWhenUsed/>
    <w:rsid w:val="00EF4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F1D"/>
    <w:rPr>
      <w:sz w:val="20"/>
      <w:szCs w:val="20"/>
    </w:rPr>
  </w:style>
  <w:style w:type="character" w:styleId="FootnoteReference">
    <w:name w:val="footnote reference"/>
    <w:basedOn w:val="DefaultParagraphFont"/>
    <w:uiPriority w:val="99"/>
    <w:semiHidden/>
    <w:unhideWhenUsed/>
    <w:rsid w:val="00EF4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076780195">
      <w:bodyDiv w:val="1"/>
      <w:marLeft w:val="0"/>
      <w:marRight w:val="0"/>
      <w:marTop w:val="0"/>
      <w:marBottom w:val="0"/>
      <w:divBdr>
        <w:top w:val="none" w:sz="0" w:space="0" w:color="auto"/>
        <w:left w:val="none" w:sz="0" w:space="0" w:color="auto"/>
        <w:bottom w:val="none" w:sz="0" w:space="0" w:color="auto"/>
        <w:right w:val="none" w:sz="0" w:space="0" w:color="auto"/>
      </w:divBdr>
    </w:div>
    <w:div w:id="1184707756">
      <w:bodyDiv w:val="1"/>
      <w:marLeft w:val="0"/>
      <w:marRight w:val="0"/>
      <w:marTop w:val="0"/>
      <w:marBottom w:val="0"/>
      <w:divBdr>
        <w:top w:val="none" w:sz="0" w:space="0" w:color="auto"/>
        <w:left w:val="none" w:sz="0" w:space="0" w:color="auto"/>
        <w:bottom w:val="none" w:sz="0" w:space="0" w:color="auto"/>
        <w:right w:val="none" w:sz="0" w:space="0" w:color="auto"/>
      </w:divBdr>
    </w:div>
    <w:div w:id="1323700702">
      <w:bodyDiv w:val="1"/>
      <w:marLeft w:val="0"/>
      <w:marRight w:val="0"/>
      <w:marTop w:val="0"/>
      <w:marBottom w:val="0"/>
      <w:divBdr>
        <w:top w:val="none" w:sz="0" w:space="0" w:color="auto"/>
        <w:left w:val="none" w:sz="0" w:space="0" w:color="auto"/>
        <w:bottom w:val="none" w:sz="0" w:space="0" w:color="auto"/>
        <w:right w:val="none" w:sz="0" w:space="0" w:color="auto"/>
      </w:divBdr>
      <w:divsChild>
        <w:div w:id="683553501">
          <w:marLeft w:val="0"/>
          <w:marRight w:val="0"/>
          <w:marTop w:val="0"/>
          <w:marBottom w:val="0"/>
          <w:divBdr>
            <w:top w:val="none" w:sz="0" w:space="0" w:color="auto"/>
            <w:left w:val="none" w:sz="0" w:space="0" w:color="auto"/>
            <w:bottom w:val="none" w:sz="0" w:space="0" w:color="auto"/>
            <w:right w:val="none" w:sz="0" w:space="0" w:color="auto"/>
          </w:divBdr>
          <w:divsChild>
            <w:div w:id="706031687">
              <w:marLeft w:val="0"/>
              <w:marRight w:val="0"/>
              <w:marTop w:val="0"/>
              <w:marBottom w:val="0"/>
              <w:divBdr>
                <w:top w:val="none" w:sz="0" w:space="0" w:color="auto"/>
                <w:left w:val="none" w:sz="0" w:space="0" w:color="auto"/>
                <w:bottom w:val="none" w:sz="0" w:space="0" w:color="auto"/>
                <w:right w:val="none" w:sz="0" w:space="0" w:color="auto"/>
              </w:divBdr>
              <w:divsChild>
                <w:div w:id="1602373127">
                  <w:marLeft w:val="0"/>
                  <w:marRight w:val="0"/>
                  <w:marTop w:val="0"/>
                  <w:marBottom w:val="0"/>
                  <w:divBdr>
                    <w:top w:val="none" w:sz="0" w:space="0" w:color="auto"/>
                    <w:left w:val="none" w:sz="0" w:space="0" w:color="auto"/>
                    <w:bottom w:val="none" w:sz="0" w:space="0" w:color="auto"/>
                    <w:right w:val="none" w:sz="0" w:space="0" w:color="auto"/>
                  </w:divBdr>
                  <w:divsChild>
                    <w:div w:id="1505130023">
                      <w:marLeft w:val="0"/>
                      <w:marRight w:val="0"/>
                      <w:marTop w:val="0"/>
                      <w:marBottom w:val="0"/>
                      <w:divBdr>
                        <w:top w:val="none" w:sz="0" w:space="0" w:color="auto"/>
                        <w:left w:val="none" w:sz="0" w:space="0" w:color="auto"/>
                        <w:bottom w:val="none" w:sz="0" w:space="0" w:color="auto"/>
                        <w:right w:val="none" w:sz="0" w:space="0" w:color="auto"/>
                      </w:divBdr>
                      <w:divsChild>
                        <w:div w:id="1295595880">
                          <w:marLeft w:val="0"/>
                          <w:marRight w:val="0"/>
                          <w:marTop w:val="0"/>
                          <w:marBottom w:val="0"/>
                          <w:divBdr>
                            <w:top w:val="none" w:sz="0" w:space="0" w:color="auto"/>
                            <w:left w:val="none" w:sz="0" w:space="0" w:color="auto"/>
                            <w:bottom w:val="none" w:sz="0" w:space="0" w:color="auto"/>
                            <w:right w:val="none" w:sz="0" w:space="0" w:color="auto"/>
                          </w:divBdr>
                          <w:divsChild>
                            <w:div w:id="854609380">
                              <w:marLeft w:val="0"/>
                              <w:marRight w:val="0"/>
                              <w:marTop w:val="0"/>
                              <w:marBottom w:val="0"/>
                              <w:divBdr>
                                <w:top w:val="single" w:sz="6" w:space="0" w:color="CCCCCC"/>
                                <w:left w:val="none" w:sz="0" w:space="0" w:color="auto"/>
                                <w:bottom w:val="single" w:sz="6" w:space="0" w:color="CCCCCC"/>
                                <w:right w:val="none" w:sz="0" w:space="0" w:color="auto"/>
                              </w:divBdr>
                              <w:divsChild>
                                <w:div w:id="1613004113">
                                  <w:marLeft w:val="0"/>
                                  <w:marRight w:val="0"/>
                                  <w:marTop w:val="0"/>
                                  <w:marBottom w:val="0"/>
                                  <w:divBdr>
                                    <w:top w:val="none" w:sz="0" w:space="0" w:color="auto"/>
                                    <w:left w:val="single" w:sz="6" w:space="0" w:color="CCCCCC"/>
                                    <w:bottom w:val="none" w:sz="0" w:space="0" w:color="auto"/>
                                    <w:right w:val="none" w:sz="0" w:space="0" w:color="auto"/>
                                  </w:divBdr>
                                  <w:divsChild>
                                    <w:div w:id="1735465895">
                                      <w:marLeft w:val="0"/>
                                      <w:marRight w:val="0"/>
                                      <w:marTop w:val="0"/>
                                      <w:marBottom w:val="0"/>
                                      <w:divBdr>
                                        <w:top w:val="none" w:sz="0" w:space="0" w:color="auto"/>
                                        <w:left w:val="none" w:sz="0" w:space="0" w:color="auto"/>
                                        <w:bottom w:val="none" w:sz="0" w:space="0" w:color="auto"/>
                                        <w:right w:val="none" w:sz="0" w:space="0" w:color="auto"/>
                                      </w:divBdr>
                                      <w:divsChild>
                                        <w:div w:id="96293956">
                                          <w:marLeft w:val="0"/>
                                          <w:marRight w:val="0"/>
                                          <w:marTop w:val="0"/>
                                          <w:marBottom w:val="0"/>
                                          <w:divBdr>
                                            <w:top w:val="none" w:sz="0" w:space="0" w:color="auto"/>
                                            <w:left w:val="none" w:sz="0" w:space="0" w:color="auto"/>
                                            <w:bottom w:val="none" w:sz="0" w:space="0" w:color="auto"/>
                                            <w:right w:val="none" w:sz="0" w:space="0" w:color="auto"/>
                                          </w:divBdr>
                                          <w:divsChild>
                                            <w:div w:id="1092049399">
                                              <w:marLeft w:val="0"/>
                                              <w:marRight w:val="0"/>
                                              <w:marTop w:val="0"/>
                                              <w:marBottom w:val="0"/>
                                              <w:divBdr>
                                                <w:top w:val="none" w:sz="0" w:space="0" w:color="auto"/>
                                                <w:left w:val="none" w:sz="0" w:space="0" w:color="auto"/>
                                                <w:bottom w:val="none" w:sz="0" w:space="0" w:color="auto"/>
                                                <w:right w:val="none" w:sz="0" w:space="0" w:color="auto"/>
                                              </w:divBdr>
                                              <w:divsChild>
                                                <w:div w:id="1494637246">
                                                  <w:marLeft w:val="0"/>
                                                  <w:marRight w:val="0"/>
                                                  <w:marTop w:val="0"/>
                                                  <w:marBottom w:val="0"/>
                                                  <w:divBdr>
                                                    <w:top w:val="none" w:sz="0" w:space="0" w:color="auto"/>
                                                    <w:left w:val="none" w:sz="0" w:space="0" w:color="auto"/>
                                                    <w:bottom w:val="none" w:sz="0" w:space="0" w:color="auto"/>
                                                    <w:right w:val="none" w:sz="0" w:space="0" w:color="auto"/>
                                                  </w:divBdr>
                                                  <w:divsChild>
                                                    <w:div w:id="929311949">
                                                      <w:marLeft w:val="0"/>
                                                      <w:marRight w:val="0"/>
                                                      <w:marTop w:val="0"/>
                                                      <w:marBottom w:val="0"/>
                                                      <w:divBdr>
                                                        <w:top w:val="none" w:sz="0" w:space="0" w:color="auto"/>
                                                        <w:left w:val="none" w:sz="0" w:space="0" w:color="auto"/>
                                                        <w:bottom w:val="none" w:sz="0" w:space="0" w:color="auto"/>
                                                        <w:right w:val="none" w:sz="0" w:space="0" w:color="auto"/>
                                                      </w:divBdr>
                                                      <w:divsChild>
                                                        <w:div w:id="398410367">
                                                          <w:marLeft w:val="0"/>
                                                          <w:marRight w:val="0"/>
                                                          <w:marTop w:val="0"/>
                                                          <w:marBottom w:val="0"/>
                                                          <w:divBdr>
                                                            <w:top w:val="none" w:sz="0" w:space="0" w:color="auto"/>
                                                            <w:left w:val="none" w:sz="0" w:space="0" w:color="auto"/>
                                                            <w:bottom w:val="none" w:sz="0" w:space="0" w:color="auto"/>
                                                            <w:right w:val="none" w:sz="0" w:space="0" w:color="auto"/>
                                                          </w:divBdr>
                                                        </w:div>
                                                        <w:div w:id="944189485">
                                                          <w:marLeft w:val="0"/>
                                                          <w:marRight w:val="0"/>
                                                          <w:marTop w:val="0"/>
                                                          <w:marBottom w:val="0"/>
                                                          <w:divBdr>
                                                            <w:top w:val="none" w:sz="0" w:space="0" w:color="auto"/>
                                                            <w:left w:val="none" w:sz="0" w:space="0" w:color="auto"/>
                                                            <w:bottom w:val="none" w:sz="0" w:space="0" w:color="auto"/>
                                                            <w:right w:val="none" w:sz="0" w:space="0" w:color="auto"/>
                                                          </w:divBdr>
                                                        </w:div>
                                                        <w:div w:id="1068530076">
                                                          <w:marLeft w:val="0"/>
                                                          <w:marRight w:val="0"/>
                                                          <w:marTop w:val="0"/>
                                                          <w:marBottom w:val="0"/>
                                                          <w:divBdr>
                                                            <w:top w:val="none" w:sz="0" w:space="0" w:color="auto"/>
                                                            <w:left w:val="none" w:sz="0" w:space="0" w:color="auto"/>
                                                            <w:bottom w:val="none" w:sz="0" w:space="0" w:color="auto"/>
                                                            <w:right w:val="none" w:sz="0" w:space="0" w:color="auto"/>
                                                          </w:divBdr>
                                                        </w:div>
                                                        <w:div w:id="7901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for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C1B4-FE8C-46EA-AA32-5FE27234B2CC}">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97BE1B5-BDF2-412C-A182-AEA8C6448A70}">
  <ds:schemaRefs>
    <ds:schemaRef ds:uri="http://schemas.microsoft.com/sharepoint/v3/contenttype/forms"/>
  </ds:schemaRefs>
</ds:datastoreItem>
</file>

<file path=customXml/itemProps3.xml><?xml version="1.0" encoding="utf-8"?>
<ds:datastoreItem xmlns:ds="http://schemas.openxmlformats.org/officeDocument/2006/customXml" ds:itemID="{547969A0-3951-47A1-8BBF-A2A84F3B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62627A-27C5-4AE0-958F-6B763BC7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3</cp:revision>
  <dcterms:created xsi:type="dcterms:W3CDTF">2014-09-25T14:49:00Z</dcterms:created>
  <dcterms:modified xsi:type="dcterms:W3CDTF">2014-09-30T14:27:00Z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