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06B" w:rsidRDefault="00AD706B" w:rsidP="008719C0">
      <w:pPr>
        <w:pStyle w:val="Title"/>
      </w:pPr>
      <w:r>
        <w:t>IT-</w:t>
      </w:r>
      <w:r w:rsidR="006D02F1">
        <w:t>5.2</w:t>
      </w:r>
      <w:r>
        <w:t xml:space="preserve">:  </w:t>
      </w:r>
      <w:bookmarkStart w:id="0" w:name="_GoBack"/>
      <w:bookmarkEnd w:id="0"/>
      <w:r w:rsidR="006D02F1" w:rsidRPr="006D02F1">
        <w:t>Per episode cost of care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0"/>
        <w:gridCol w:w="6946"/>
      </w:tblGrid>
      <w:tr w:rsidR="00AD706B" w:rsidTr="00946362">
        <w:trPr>
          <w:tblHeader/>
        </w:trPr>
        <w:tc>
          <w:tcPr>
            <w:tcW w:w="2630" w:type="dxa"/>
            <w:shd w:val="clear" w:color="auto" w:fill="F2F2F2" w:themeFill="background1" w:themeFillShade="F2"/>
          </w:tcPr>
          <w:p w:rsidR="00AD706B" w:rsidRPr="00717546" w:rsidRDefault="00AD706B" w:rsidP="00F4349D">
            <w:pPr>
              <w:pStyle w:val="NoSpacing"/>
              <w:rPr>
                <w:b/>
              </w:rPr>
            </w:pPr>
            <w:r w:rsidRPr="00717546">
              <w:rPr>
                <w:b/>
              </w:rPr>
              <w:t>Measure Title</w:t>
            </w:r>
          </w:p>
        </w:tc>
        <w:tc>
          <w:tcPr>
            <w:tcW w:w="6946" w:type="dxa"/>
            <w:shd w:val="clear" w:color="auto" w:fill="F2F2F2" w:themeFill="background1" w:themeFillShade="F2"/>
          </w:tcPr>
          <w:p w:rsidR="00AD706B" w:rsidRPr="00E576F1" w:rsidRDefault="000E2539" w:rsidP="00B05CBF">
            <w:pPr>
              <w:pStyle w:val="NoSpacing"/>
              <w:rPr>
                <w:b/>
              </w:rPr>
            </w:pPr>
            <w:r w:rsidRPr="00E576F1">
              <w:rPr>
                <w:b/>
              </w:rPr>
              <w:t xml:space="preserve">IT-5.2 </w:t>
            </w:r>
            <w:r w:rsidR="006D02F1" w:rsidRPr="00E576F1">
              <w:rPr>
                <w:b/>
              </w:rPr>
              <w:t>Per Episode Cost of Care</w:t>
            </w:r>
          </w:p>
        </w:tc>
      </w:tr>
      <w:tr w:rsidR="00AD706B" w:rsidTr="00946362">
        <w:tc>
          <w:tcPr>
            <w:tcW w:w="2630" w:type="dxa"/>
          </w:tcPr>
          <w:p w:rsidR="00AD706B" w:rsidRPr="00717546" w:rsidRDefault="00AD706B" w:rsidP="00F4349D">
            <w:pPr>
              <w:pStyle w:val="NoSpacing"/>
              <w:rPr>
                <w:b/>
              </w:rPr>
            </w:pPr>
            <w:r w:rsidRPr="00717546">
              <w:rPr>
                <w:b/>
              </w:rPr>
              <w:t>Description</w:t>
            </w:r>
          </w:p>
        </w:tc>
        <w:tc>
          <w:tcPr>
            <w:tcW w:w="6946" w:type="dxa"/>
          </w:tcPr>
          <w:p w:rsidR="00AD706B" w:rsidRDefault="006D02F1" w:rsidP="00BE49F4">
            <w:pPr>
              <w:pStyle w:val="NoSpacing"/>
            </w:pPr>
            <w:r w:rsidRPr="006D02F1">
              <w:t>Per episode cost of care measurement quantifies the services involved in the diagnosis, management</w:t>
            </w:r>
            <w:r>
              <w:t xml:space="preserve"> </w:t>
            </w:r>
            <w:r w:rsidRPr="006D02F1">
              <w:t>and treatment of specific clinical conditions. Episode‐of‐care measures can be developed for the full</w:t>
            </w:r>
            <w:r>
              <w:t xml:space="preserve"> </w:t>
            </w:r>
            <w:r w:rsidRPr="006D02F1">
              <w:t xml:space="preserve">range of acute and chronic conditions, including </w:t>
            </w:r>
            <w:r w:rsidR="00DF0E16">
              <w:t xml:space="preserve">pneumonia and hip/knee replacement </w:t>
            </w:r>
            <w:r w:rsidR="00DF0E16" w:rsidRPr="00DF0E16">
              <w:t>and many others</w:t>
            </w:r>
            <w:r w:rsidR="00BE49F4">
              <w:t xml:space="preserve"> (for which to contact the Measure Steward)</w:t>
            </w:r>
            <w:proofErr w:type="gramStart"/>
            <w:r w:rsidR="00DB2E41">
              <w:t>.</w:t>
            </w:r>
            <w:r w:rsidRPr="006D02F1">
              <w:t>.</w:t>
            </w:r>
            <w:proofErr w:type="gramEnd"/>
          </w:p>
        </w:tc>
      </w:tr>
      <w:tr w:rsidR="00AD706B" w:rsidTr="00946362">
        <w:tc>
          <w:tcPr>
            <w:tcW w:w="2630" w:type="dxa"/>
          </w:tcPr>
          <w:p w:rsidR="00AD706B" w:rsidRPr="00717546" w:rsidRDefault="00AD706B" w:rsidP="00F4349D">
            <w:pPr>
              <w:pStyle w:val="NoSpacing"/>
              <w:rPr>
                <w:b/>
              </w:rPr>
            </w:pPr>
            <w:r w:rsidRPr="00717546">
              <w:rPr>
                <w:b/>
              </w:rPr>
              <w:t>NQF Number</w:t>
            </w:r>
          </w:p>
        </w:tc>
        <w:tc>
          <w:tcPr>
            <w:tcW w:w="6946" w:type="dxa"/>
          </w:tcPr>
          <w:p w:rsidR="00AD706B" w:rsidRDefault="00DF0E16" w:rsidP="006208D7">
            <w:pPr>
              <w:pStyle w:val="NoSpacing"/>
            </w:pPr>
            <w:r>
              <w:t>1609 &amp; 1611</w:t>
            </w:r>
          </w:p>
        </w:tc>
      </w:tr>
      <w:tr w:rsidR="00AD706B" w:rsidTr="00946362">
        <w:tc>
          <w:tcPr>
            <w:tcW w:w="2630" w:type="dxa"/>
          </w:tcPr>
          <w:p w:rsidR="00AD706B" w:rsidRPr="00717546" w:rsidRDefault="00AD706B" w:rsidP="00F4349D">
            <w:pPr>
              <w:pStyle w:val="NoSpacing"/>
              <w:rPr>
                <w:b/>
              </w:rPr>
            </w:pPr>
            <w:r>
              <w:rPr>
                <w:b/>
              </w:rPr>
              <w:t>Measure Steward</w:t>
            </w:r>
          </w:p>
        </w:tc>
        <w:tc>
          <w:tcPr>
            <w:tcW w:w="6946" w:type="dxa"/>
          </w:tcPr>
          <w:p w:rsidR="00AD706B" w:rsidRPr="00631E85" w:rsidRDefault="00DF0E16" w:rsidP="00F4349D">
            <w:pPr>
              <w:pStyle w:val="NoSpacing"/>
            </w:pPr>
            <w:proofErr w:type="spellStart"/>
            <w:r>
              <w:t>Optum</w:t>
            </w:r>
            <w:proofErr w:type="spellEnd"/>
            <w:r>
              <w:t xml:space="preserve"> Inc.</w:t>
            </w:r>
          </w:p>
        </w:tc>
      </w:tr>
      <w:tr w:rsidR="00AD706B" w:rsidTr="00946362">
        <w:tc>
          <w:tcPr>
            <w:tcW w:w="2630" w:type="dxa"/>
          </w:tcPr>
          <w:p w:rsidR="00AD706B" w:rsidRDefault="00AD706B" w:rsidP="00F4349D">
            <w:pPr>
              <w:pStyle w:val="NoSpacing"/>
              <w:rPr>
                <w:b/>
              </w:rPr>
            </w:pPr>
            <w:r>
              <w:rPr>
                <w:b/>
              </w:rPr>
              <w:t>Link to measure citation</w:t>
            </w:r>
          </w:p>
        </w:tc>
        <w:tc>
          <w:tcPr>
            <w:tcW w:w="6946" w:type="dxa"/>
          </w:tcPr>
          <w:p w:rsidR="00AD706B" w:rsidRPr="00631E85" w:rsidRDefault="000E2539" w:rsidP="006208D7">
            <w:pPr>
              <w:pStyle w:val="NoSpacing"/>
            </w:pPr>
            <w:hyperlink r:id="rId12" w:history="1">
              <w:r w:rsidRPr="00DA413C">
                <w:rPr>
                  <w:rStyle w:val="Hyperlink"/>
                </w:rPr>
                <w:t>http://www.qualityforum.org/</w:t>
              </w:r>
            </w:hyperlink>
            <w:r>
              <w:t xml:space="preserve"> </w:t>
            </w:r>
          </w:p>
        </w:tc>
      </w:tr>
      <w:tr w:rsidR="00AD706B" w:rsidTr="00946362">
        <w:tc>
          <w:tcPr>
            <w:tcW w:w="2630" w:type="dxa"/>
          </w:tcPr>
          <w:p w:rsidR="00AD706B" w:rsidRDefault="00AD706B" w:rsidP="00F4349D">
            <w:pPr>
              <w:pStyle w:val="NoSpacing"/>
              <w:rPr>
                <w:b/>
              </w:rPr>
            </w:pPr>
            <w:r>
              <w:rPr>
                <w:b/>
              </w:rPr>
              <w:t>Measure type</w:t>
            </w:r>
          </w:p>
        </w:tc>
        <w:tc>
          <w:tcPr>
            <w:tcW w:w="6946" w:type="dxa"/>
          </w:tcPr>
          <w:p w:rsidR="006208D7" w:rsidRDefault="006208D7" w:rsidP="00AD706B">
            <w:pPr>
              <w:pStyle w:val="NoSpacing"/>
            </w:pPr>
            <w:r>
              <w:t>SA for project area 2.5</w:t>
            </w:r>
          </w:p>
          <w:p w:rsidR="00AD706B" w:rsidRDefault="006208D7" w:rsidP="00AD706B">
            <w:pPr>
              <w:pStyle w:val="NoSpacing"/>
            </w:pPr>
            <w:r w:rsidRPr="006208D7">
              <w:t>NSA for all other project areas</w:t>
            </w:r>
          </w:p>
        </w:tc>
      </w:tr>
      <w:tr w:rsidR="00946362" w:rsidTr="00946362">
        <w:tc>
          <w:tcPr>
            <w:tcW w:w="2630" w:type="dxa"/>
          </w:tcPr>
          <w:p w:rsidR="00946362" w:rsidRDefault="00946362" w:rsidP="00F4349D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Performance and Achievement Type </w:t>
            </w:r>
          </w:p>
        </w:tc>
        <w:tc>
          <w:tcPr>
            <w:tcW w:w="6946" w:type="dxa"/>
          </w:tcPr>
          <w:p w:rsidR="00946362" w:rsidRDefault="00946362" w:rsidP="00B410EB">
            <w:pPr>
              <w:pStyle w:val="NoSpacing"/>
            </w:pPr>
            <w:r>
              <w:t>Pay for Performance (P4P) – Improvement Over Self (IOS): Prior Authorization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09"/>
              <w:gridCol w:w="2209"/>
              <w:gridCol w:w="2209"/>
            </w:tblGrid>
            <w:tr w:rsidR="00946362" w:rsidRPr="008331B0" w:rsidTr="00B410EB">
              <w:tc>
                <w:tcPr>
                  <w:tcW w:w="2209" w:type="dxa"/>
                </w:tcPr>
                <w:p w:rsidR="00946362" w:rsidRPr="008331B0" w:rsidRDefault="00946362" w:rsidP="00B410EB">
                  <w:pPr>
                    <w:pStyle w:val="NoSpacing"/>
                  </w:pPr>
                </w:p>
              </w:tc>
              <w:tc>
                <w:tcPr>
                  <w:tcW w:w="2209" w:type="dxa"/>
                </w:tcPr>
                <w:p w:rsidR="00946362" w:rsidRPr="008331B0" w:rsidRDefault="00946362" w:rsidP="00B410EB">
                  <w:pPr>
                    <w:pStyle w:val="NoSpacing"/>
                    <w:jc w:val="center"/>
                  </w:pPr>
                  <w:r w:rsidRPr="008331B0">
                    <w:t>DY4</w:t>
                  </w:r>
                </w:p>
                <w:p w:rsidR="00946362" w:rsidRPr="008331B0" w:rsidRDefault="00946362" w:rsidP="00B410EB">
                  <w:pPr>
                    <w:pStyle w:val="NoSpacing"/>
                    <w:jc w:val="center"/>
                  </w:pPr>
                </w:p>
              </w:tc>
              <w:tc>
                <w:tcPr>
                  <w:tcW w:w="2209" w:type="dxa"/>
                </w:tcPr>
                <w:p w:rsidR="00946362" w:rsidRPr="008331B0" w:rsidRDefault="00946362" w:rsidP="00B410EB">
                  <w:pPr>
                    <w:pStyle w:val="NoSpacing"/>
                    <w:jc w:val="center"/>
                  </w:pPr>
                  <w:r w:rsidRPr="008331B0">
                    <w:t>DY5</w:t>
                  </w:r>
                </w:p>
                <w:p w:rsidR="00946362" w:rsidRPr="008331B0" w:rsidRDefault="00946362" w:rsidP="00B410EB">
                  <w:pPr>
                    <w:pStyle w:val="NoSpacing"/>
                    <w:jc w:val="center"/>
                  </w:pPr>
                </w:p>
              </w:tc>
            </w:tr>
            <w:tr w:rsidR="00946362" w:rsidRPr="008331B0" w:rsidTr="00B410EB">
              <w:tc>
                <w:tcPr>
                  <w:tcW w:w="2209" w:type="dxa"/>
                </w:tcPr>
                <w:p w:rsidR="00946362" w:rsidRPr="008331B0" w:rsidRDefault="00946362" w:rsidP="00B410EB">
                  <w:pPr>
                    <w:pStyle w:val="NoSpacing"/>
                    <w:jc w:val="center"/>
                  </w:pPr>
                  <w:r>
                    <w:t>Achievement Level Calculation</w:t>
                  </w:r>
                </w:p>
              </w:tc>
              <w:tc>
                <w:tcPr>
                  <w:tcW w:w="2209" w:type="dxa"/>
                </w:tcPr>
                <w:p w:rsidR="00946362" w:rsidRDefault="00946362" w:rsidP="00B410EB">
                  <w:pPr>
                    <w:pStyle w:val="NoSpacing"/>
                    <w:jc w:val="center"/>
                  </w:pPr>
                  <w:r w:rsidRPr="00EA4A39">
                    <w:t xml:space="preserve">Baseline </w:t>
                  </w:r>
                  <w:r>
                    <w:t>-</w:t>
                  </w:r>
                  <w:r w:rsidRPr="00EA4A39">
                    <w:t xml:space="preserve"> 5% *(performance gap)</w:t>
                  </w:r>
                </w:p>
                <w:p w:rsidR="00946362" w:rsidRDefault="00946362" w:rsidP="00B410EB">
                  <w:pPr>
                    <w:pStyle w:val="NoSpacing"/>
                    <w:jc w:val="center"/>
                  </w:pPr>
                  <w:r w:rsidRPr="00EA4A39">
                    <w:t>=</w:t>
                  </w:r>
                </w:p>
                <w:p w:rsidR="00946362" w:rsidRPr="008331B0" w:rsidRDefault="00946362" w:rsidP="00B410EB">
                  <w:pPr>
                    <w:pStyle w:val="NoSpacing"/>
                    <w:jc w:val="center"/>
                  </w:pPr>
                  <w:r w:rsidRPr="00EA4A39">
                    <w:t xml:space="preserve">Baseline </w:t>
                  </w:r>
                  <w:r>
                    <w:t>-</w:t>
                  </w:r>
                  <w:r w:rsidRPr="00EA4A39">
                    <w:t xml:space="preserve"> 5% *(</w:t>
                  </w:r>
                  <w:r>
                    <w:t>0</w:t>
                  </w:r>
                  <w:r w:rsidRPr="00EA4A39">
                    <w:t xml:space="preserve">% – </w:t>
                  </w:r>
                  <w:r>
                    <w:t>B</w:t>
                  </w:r>
                  <w:r w:rsidRPr="00EA4A39">
                    <w:t>aseline rate)</w:t>
                  </w:r>
                </w:p>
              </w:tc>
              <w:tc>
                <w:tcPr>
                  <w:tcW w:w="2209" w:type="dxa"/>
                </w:tcPr>
                <w:p w:rsidR="00946362" w:rsidRDefault="00946362" w:rsidP="00B410EB">
                  <w:pPr>
                    <w:pStyle w:val="NoSpacing"/>
                    <w:jc w:val="center"/>
                  </w:pPr>
                  <w:r w:rsidRPr="00EA4A39">
                    <w:t xml:space="preserve">Baseline </w:t>
                  </w:r>
                  <w:r>
                    <w:t>-</w:t>
                  </w:r>
                  <w:r w:rsidRPr="00EA4A39">
                    <w:t xml:space="preserve"> </w:t>
                  </w:r>
                  <w:r>
                    <w:t>10</w:t>
                  </w:r>
                  <w:r w:rsidRPr="00EA4A39">
                    <w:t>% *(performance gap)</w:t>
                  </w:r>
                </w:p>
                <w:p w:rsidR="00946362" w:rsidRDefault="00946362" w:rsidP="00B410EB">
                  <w:pPr>
                    <w:pStyle w:val="NoSpacing"/>
                    <w:jc w:val="center"/>
                  </w:pPr>
                  <w:r w:rsidRPr="00EA4A39">
                    <w:t>=</w:t>
                  </w:r>
                </w:p>
                <w:p w:rsidR="00946362" w:rsidRPr="008331B0" w:rsidRDefault="00946362" w:rsidP="00B410EB">
                  <w:pPr>
                    <w:pStyle w:val="NoSpacing"/>
                    <w:jc w:val="center"/>
                  </w:pPr>
                  <w:r w:rsidRPr="00EA4A39">
                    <w:t xml:space="preserve">Baseline </w:t>
                  </w:r>
                  <w:r>
                    <w:t>-</w:t>
                  </w:r>
                  <w:r w:rsidRPr="00EA4A39">
                    <w:t xml:space="preserve"> </w:t>
                  </w:r>
                  <w:r>
                    <w:t>10% *(</w:t>
                  </w:r>
                  <w:r w:rsidRPr="00EA4A39">
                    <w:t xml:space="preserve">0% – </w:t>
                  </w:r>
                  <w:r>
                    <w:t>B</w:t>
                  </w:r>
                  <w:r w:rsidRPr="00EA4A39">
                    <w:t>aseline rate)</w:t>
                  </w:r>
                </w:p>
              </w:tc>
            </w:tr>
          </w:tbl>
          <w:p w:rsidR="00946362" w:rsidRDefault="00946362" w:rsidP="00C035E7">
            <w:pPr>
              <w:pStyle w:val="NoSpacing"/>
            </w:pPr>
          </w:p>
        </w:tc>
      </w:tr>
      <w:tr w:rsidR="00AD706B" w:rsidTr="00946362">
        <w:tc>
          <w:tcPr>
            <w:tcW w:w="2630" w:type="dxa"/>
          </w:tcPr>
          <w:p w:rsidR="00AD706B" w:rsidRPr="00717546" w:rsidRDefault="00AD706B" w:rsidP="00F4349D">
            <w:pPr>
              <w:pStyle w:val="NoSpacing"/>
              <w:rPr>
                <w:b/>
              </w:rPr>
            </w:pPr>
            <w:r>
              <w:rPr>
                <w:b/>
              </w:rPr>
              <w:t>DSRIP-specific modifications to Measure Steward’s specification</w:t>
            </w:r>
          </w:p>
        </w:tc>
        <w:tc>
          <w:tcPr>
            <w:tcW w:w="6946" w:type="dxa"/>
          </w:tcPr>
          <w:p w:rsidR="00AD706B" w:rsidRDefault="006208D7" w:rsidP="00B05CBF">
            <w:pPr>
              <w:pStyle w:val="NoSpacing"/>
            </w:pPr>
            <w:r>
              <w:t>None</w:t>
            </w:r>
          </w:p>
        </w:tc>
      </w:tr>
      <w:tr w:rsidR="00AD706B" w:rsidTr="00946362">
        <w:tc>
          <w:tcPr>
            <w:tcW w:w="2630" w:type="dxa"/>
          </w:tcPr>
          <w:p w:rsidR="00AD706B" w:rsidRPr="00717546" w:rsidRDefault="00AD706B" w:rsidP="001D6BEA">
            <w:pPr>
              <w:pStyle w:val="NoSpacing"/>
              <w:rPr>
                <w:b/>
              </w:rPr>
            </w:pPr>
            <w:r w:rsidRPr="00717546">
              <w:rPr>
                <w:b/>
              </w:rPr>
              <w:t>Denominator</w:t>
            </w:r>
            <w:r w:rsidR="00C01E6F">
              <w:rPr>
                <w:b/>
              </w:rPr>
              <w:t xml:space="preserve"> </w:t>
            </w:r>
            <w:r w:rsidR="00B05CBF">
              <w:rPr>
                <w:b/>
              </w:rPr>
              <w:t>Description</w:t>
            </w:r>
            <w:r w:rsidR="00C01E6F">
              <w:rPr>
                <w:b/>
              </w:rPr>
              <w:t xml:space="preserve"> </w:t>
            </w:r>
          </w:p>
        </w:tc>
        <w:tc>
          <w:tcPr>
            <w:tcW w:w="6946" w:type="dxa"/>
          </w:tcPr>
          <w:p w:rsidR="00AD706B" w:rsidRPr="009F7E66" w:rsidRDefault="000E2539">
            <w:pPr>
              <w:pStyle w:val="NoSpacing"/>
            </w:pPr>
            <w:r>
              <w:t>Total number of episodes during the measurement period</w:t>
            </w:r>
          </w:p>
        </w:tc>
      </w:tr>
      <w:tr w:rsidR="00B05CBF" w:rsidTr="00946362">
        <w:tc>
          <w:tcPr>
            <w:tcW w:w="2630" w:type="dxa"/>
          </w:tcPr>
          <w:p w:rsidR="00B05CBF" w:rsidRPr="00717546" w:rsidRDefault="00B05CBF" w:rsidP="00C01E6F">
            <w:pPr>
              <w:pStyle w:val="NoSpacing"/>
              <w:rPr>
                <w:b/>
              </w:rPr>
            </w:pPr>
            <w:r>
              <w:rPr>
                <w:b/>
              </w:rPr>
              <w:t>Denominator Inclusions</w:t>
            </w:r>
          </w:p>
        </w:tc>
        <w:tc>
          <w:tcPr>
            <w:tcW w:w="6946" w:type="dxa"/>
          </w:tcPr>
          <w:p w:rsidR="00B05CBF" w:rsidRPr="0012650D" w:rsidRDefault="000E2539" w:rsidP="00946362">
            <w:pPr>
              <w:pStyle w:val="NoSpacing"/>
              <w:rPr>
                <w:b/>
              </w:rPr>
            </w:pPr>
            <w:r>
              <w:t xml:space="preserve">Note: </w:t>
            </w:r>
            <w:r w:rsidR="00946362" w:rsidRPr="000369B7">
              <w:t>The monthly reporting is more adequate at institution level, while the annual reporting is more suited at individual physician level</w:t>
            </w:r>
          </w:p>
        </w:tc>
      </w:tr>
      <w:tr w:rsidR="00B05CBF" w:rsidTr="00946362">
        <w:tc>
          <w:tcPr>
            <w:tcW w:w="2630" w:type="dxa"/>
          </w:tcPr>
          <w:p w:rsidR="00B05CBF" w:rsidRPr="00717546" w:rsidRDefault="00B05CBF" w:rsidP="00C01E6F">
            <w:pPr>
              <w:pStyle w:val="NoSpacing"/>
              <w:rPr>
                <w:b/>
              </w:rPr>
            </w:pPr>
            <w:r>
              <w:rPr>
                <w:b/>
              </w:rPr>
              <w:t>Denominator Exclusions</w:t>
            </w:r>
          </w:p>
        </w:tc>
        <w:tc>
          <w:tcPr>
            <w:tcW w:w="6946" w:type="dxa"/>
          </w:tcPr>
          <w:p w:rsidR="00B05CBF" w:rsidRPr="001D6BEA" w:rsidRDefault="006B0DE1" w:rsidP="00F4349D">
            <w:pPr>
              <w:pStyle w:val="NoSpacing"/>
            </w:pPr>
            <w:r w:rsidRPr="006B0DE1">
              <w:t>None</w:t>
            </w:r>
          </w:p>
        </w:tc>
      </w:tr>
      <w:tr w:rsidR="00D63CD3" w:rsidTr="00946362">
        <w:tc>
          <w:tcPr>
            <w:tcW w:w="2630" w:type="dxa"/>
          </w:tcPr>
          <w:p w:rsidR="00D63CD3" w:rsidRDefault="00D63CD3" w:rsidP="00F4349D">
            <w:pPr>
              <w:pStyle w:val="NoSpacing"/>
              <w:rPr>
                <w:b/>
              </w:rPr>
            </w:pPr>
            <w:r>
              <w:rPr>
                <w:b/>
              </w:rPr>
              <w:t>Denominator Size</w:t>
            </w:r>
          </w:p>
        </w:tc>
        <w:tc>
          <w:tcPr>
            <w:tcW w:w="6946" w:type="dxa"/>
          </w:tcPr>
          <w:p w:rsidR="00D63CD3" w:rsidRDefault="00D63CD3" w:rsidP="00D63CD3">
            <w:pPr>
              <w:pStyle w:val="NoSpacing"/>
            </w:pPr>
            <w:r>
              <w:t>Providers</w:t>
            </w:r>
            <w:r w:rsidRPr="00D63CD3">
              <w:t xml:space="preserve"> must report a </w:t>
            </w:r>
            <w:r w:rsidR="0011709A">
              <w:t>minimum of 3</w:t>
            </w:r>
            <w:r w:rsidR="0032246B">
              <w:t xml:space="preserve">0 cases per measure during a </w:t>
            </w:r>
            <w:r w:rsidR="0011709A">
              <w:t>12-month measurement period (15 cases for a 6-month measurement period)</w:t>
            </w:r>
          </w:p>
          <w:p w:rsidR="0032246B" w:rsidRDefault="0032246B" w:rsidP="0032246B">
            <w:pPr>
              <w:pStyle w:val="NoSpacing"/>
              <w:numPr>
                <w:ilvl w:val="0"/>
                <w:numId w:val="8"/>
              </w:numPr>
            </w:pPr>
            <w:r>
              <w:t xml:space="preserve">For a measurement period </w:t>
            </w:r>
            <w:r w:rsidR="003A409E">
              <w:t xml:space="preserve">(either 6 or 12 </w:t>
            </w:r>
            <w:r w:rsidR="0011709A">
              <w:t xml:space="preserve">months) where the </w:t>
            </w:r>
            <w:r>
              <w:t>denominator size is less than or equal to 75, providers must report on all cases. No sampling is allowed.</w:t>
            </w:r>
          </w:p>
          <w:p w:rsidR="0032246B" w:rsidRDefault="0032246B" w:rsidP="0032246B">
            <w:pPr>
              <w:pStyle w:val="NoSpacing"/>
              <w:numPr>
                <w:ilvl w:val="0"/>
                <w:numId w:val="8"/>
              </w:numPr>
            </w:pPr>
            <w:r>
              <w:t xml:space="preserve">For a measurement period </w:t>
            </w:r>
            <w:r w:rsidR="003A409E">
              <w:t xml:space="preserve">(either 6 or 12 </w:t>
            </w:r>
            <w:r w:rsidR="0011709A">
              <w:t xml:space="preserve">months) where the </w:t>
            </w:r>
            <w:r>
              <w:t xml:space="preserve">denominator size is less than or equal to 380 but greater than 75, providers must report on </w:t>
            </w:r>
            <w:r w:rsidR="003A409E">
              <w:t xml:space="preserve">all cases (preferred, particularly for providers using an electronic health record) or </w:t>
            </w:r>
            <w:r>
              <w:t>a random sample of not less than 76 cases.</w:t>
            </w:r>
          </w:p>
          <w:p w:rsidR="0032246B" w:rsidRPr="001D6BEA" w:rsidRDefault="0032246B" w:rsidP="00C035E7">
            <w:pPr>
              <w:pStyle w:val="NoSpacing"/>
              <w:numPr>
                <w:ilvl w:val="0"/>
                <w:numId w:val="8"/>
              </w:numPr>
            </w:pPr>
            <w:r>
              <w:t xml:space="preserve">For a measurement period </w:t>
            </w:r>
            <w:r w:rsidR="0011709A">
              <w:t>(either 6 or 12-months) where the denominator size</w:t>
            </w:r>
            <w:r>
              <w:t xml:space="preserve"> is greater than </w:t>
            </w:r>
            <w:r w:rsidR="00C035E7">
              <w:t>380</w:t>
            </w:r>
            <w:r>
              <w:t xml:space="preserve">, providers must report on </w:t>
            </w:r>
            <w:r w:rsidR="003A409E">
              <w:t xml:space="preserve">all cases (preferred, particularly for providers using an electronic health record) or </w:t>
            </w:r>
            <w:r>
              <w:t xml:space="preserve">a random sample of cases that is not less than 20% of all cases; however, providers may cap the </w:t>
            </w:r>
            <w:r w:rsidR="0011709A">
              <w:t xml:space="preserve">total </w:t>
            </w:r>
            <w:r>
              <w:t xml:space="preserve">sample size </w:t>
            </w:r>
            <w:r>
              <w:lastRenderedPageBreak/>
              <w:t xml:space="preserve">at 300 cases. </w:t>
            </w:r>
          </w:p>
        </w:tc>
      </w:tr>
      <w:tr w:rsidR="00AC3A97" w:rsidTr="00946362">
        <w:tc>
          <w:tcPr>
            <w:tcW w:w="2630" w:type="dxa"/>
          </w:tcPr>
          <w:p w:rsidR="00AC3A97" w:rsidRPr="00717546" w:rsidRDefault="00AC3A97" w:rsidP="00F4349D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 xml:space="preserve">Numerator Description </w:t>
            </w:r>
          </w:p>
        </w:tc>
        <w:tc>
          <w:tcPr>
            <w:tcW w:w="6946" w:type="dxa"/>
          </w:tcPr>
          <w:p w:rsidR="00D42CB1" w:rsidRPr="009F7E66" w:rsidRDefault="000B747E" w:rsidP="000B747E">
            <w:pPr>
              <w:pStyle w:val="NoSpacing"/>
            </w:pPr>
            <w:r>
              <w:t>T</w:t>
            </w:r>
            <w:r w:rsidRPr="000B747E">
              <w:t>otal cost for episode of care</w:t>
            </w:r>
          </w:p>
        </w:tc>
      </w:tr>
      <w:tr w:rsidR="00AC3A97" w:rsidTr="00946362">
        <w:tc>
          <w:tcPr>
            <w:tcW w:w="2630" w:type="dxa"/>
          </w:tcPr>
          <w:p w:rsidR="00AC3A97" w:rsidRPr="00717546" w:rsidRDefault="00AC3A97" w:rsidP="00F4349D">
            <w:pPr>
              <w:pStyle w:val="NoSpacing"/>
              <w:rPr>
                <w:b/>
              </w:rPr>
            </w:pPr>
            <w:r>
              <w:rPr>
                <w:b/>
              </w:rPr>
              <w:t>Numerator Inclusions</w:t>
            </w:r>
          </w:p>
        </w:tc>
        <w:tc>
          <w:tcPr>
            <w:tcW w:w="6946" w:type="dxa"/>
          </w:tcPr>
          <w:p w:rsidR="00AC3A97" w:rsidRPr="00AA27B0" w:rsidRDefault="005C3C4F" w:rsidP="006B0DE1">
            <w:pPr>
              <w:pStyle w:val="NoSpacing"/>
            </w:pPr>
            <w:r>
              <w:t>None</w:t>
            </w:r>
          </w:p>
        </w:tc>
      </w:tr>
      <w:tr w:rsidR="00AC3A97" w:rsidTr="00946362">
        <w:tc>
          <w:tcPr>
            <w:tcW w:w="2630" w:type="dxa"/>
          </w:tcPr>
          <w:p w:rsidR="00AC3A97" w:rsidRPr="00717546" w:rsidRDefault="00AC3A97" w:rsidP="00F4349D">
            <w:pPr>
              <w:pStyle w:val="NoSpacing"/>
              <w:rPr>
                <w:b/>
              </w:rPr>
            </w:pPr>
            <w:r>
              <w:rPr>
                <w:b/>
              </w:rPr>
              <w:t>Numerator Exclusions</w:t>
            </w:r>
          </w:p>
        </w:tc>
        <w:tc>
          <w:tcPr>
            <w:tcW w:w="6946" w:type="dxa"/>
          </w:tcPr>
          <w:p w:rsidR="00AC3A97" w:rsidRPr="001D6BEA" w:rsidRDefault="006B0DE1" w:rsidP="00F4349D">
            <w:pPr>
              <w:pStyle w:val="NoSpacing"/>
            </w:pPr>
            <w:r>
              <w:t>None</w:t>
            </w:r>
          </w:p>
        </w:tc>
      </w:tr>
      <w:tr w:rsidR="00AD706B" w:rsidTr="00946362">
        <w:tc>
          <w:tcPr>
            <w:tcW w:w="2630" w:type="dxa"/>
          </w:tcPr>
          <w:p w:rsidR="00AD706B" w:rsidRPr="00717546" w:rsidRDefault="00AD706B" w:rsidP="00F4349D">
            <w:pPr>
              <w:pStyle w:val="NoSpacing"/>
              <w:rPr>
                <w:b/>
              </w:rPr>
            </w:pPr>
            <w:r>
              <w:rPr>
                <w:b/>
              </w:rPr>
              <w:t>Setting</w:t>
            </w:r>
          </w:p>
        </w:tc>
        <w:tc>
          <w:tcPr>
            <w:tcW w:w="6946" w:type="dxa"/>
          </w:tcPr>
          <w:p w:rsidR="00AD706B" w:rsidRDefault="00CD7069" w:rsidP="00CD7069">
            <w:pPr>
              <w:pStyle w:val="NoSpacing"/>
            </w:pPr>
            <w:r>
              <w:t>Multiple</w:t>
            </w:r>
          </w:p>
        </w:tc>
      </w:tr>
      <w:tr w:rsidR="00AD706B" w:rsidTr="00946362">
        <w:tc>
          <w:tcPr>
            <w:tcW w:w="2630" w:type="dxa"/>
          </w:tcPr>
          <w:p w:rsidR="00AD706B" w:rsidRDefault="00AD706B" w:rsidP="00F4349D">
            <w:pPr>
              <w:pStyle w:val="NoSpacing"/>
              <w:rPr>
                <w:b/>
              </w:rPr>
            </w:pPr>
            <w:r>
              <w:rPr>
                <w:b/>
              </w:rPr>
              <w:t>Data Source</w:t>
            </w:r>
          </w:p>
        </w:tc>
        <w:tc>
          <w:tcPr>
            <w:tcW w:w="6946" w:type="dxa"/>
          </w:tcPr>
          <w:p w:rsidR="00AD706B" w:rsidRDefault="000F6A1C" w:rsidP="006B0DE1">
            <w:pPr>
              <w:pStyle w:val="NoSpacing"/>
            </w:pPr>
            <w:r>
              <w:t>Administrative and Clinical Data</w:t>
            </w:r>
          </w:p>
        </w:tc>
      </w:tr>
      <w:tr w:rsidR="00946362" w:rsidTr="00946362">
        <w:tc>
          <w:tcPr>
            <w:tcW w:w="2630" w:type="dxa"/>
          </w:tcPr>
          <w:p w:rsidR="00946362" w:rsidRPr="00717546" w:rsidRDefault="00946362" w:rsidP="00F05C01">
            <w:pPr>
              <w:pStyle w:val="NoSpacing"/>
              <w:rPr>
                <w:b/>
              </w:rPr>
            </w:pPr>
            <w:r>
              <w:rPr>
                <w:b/>
              </w:rPr>
              <w:t>Allowable Denominator Sub-sets</w:t>
            </w:r>
          </w:p>
        </w:tc>
        <w:tc>
          <w:tcPr>
            <w:tcW w:w="6946" w:type="dxa"/>
          </w:tcPr>
          <w:p w:rsidR="00946362" w:rsidRDefault="00946362" w:rsidP="00B410EB">
            <w:pPr>
              <w:pStyle w:val="NoSpacing"/>
            </w:pPr>
            <w:r>
              <w:t>All denominator subsets are permissible for this outcome</w:t>
            </w:r>
          </w:p>
          <w:p w:rsidR="00946362" w:rsidRDefault="00946362" w:rsidP="007F7C07">
            <w:pPr>
              <w:pStyle w:val="NoSpacing"/>
            </w:pPr>
            <w:r>
              <w:t> </w:t>
            </w:r>
          </w:p>
        </w:tc>
      </w:tr>
    </w:tbl>
    <w:p w:rsidR="00356CF4" w:rsidRPr="008F249E" w:rsidRDefault="00356CF4" w:rsidP="007C7C85">
      <w:pPr>
        <w:pStyle w:val="Heading2"/>
      </w:pPr>
    </w:p>
    <w:sectPr w:rsidR="00356CF4" w:rsidRPr="008F249E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9B7" w:rsidRDefault="000369B7" w:rsidP="00F63191">
      <w:pPr>
        <w:spacing w:after="0" w:line="240" w:lineRule="auto"/>
      </w:pPr>
      <w:r>
        <w:separator/>
      </w:r>
    </w:p>
  </w:endnote>
  <w:endnote w:type="continuationSeparator" w:id="0">
    <w:p w:rsidR="000369B7" w:rsidRDefault="000369B7" w:rsidP="00F63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6F1" w:rsidRDefault="00E576F1">
    <w:pPr>
      <w:pStyle w:val="Footer"/>
    </w:pPr>
    <w:r>
      <w:t>09/25/14</w:t>
    </w:r>
  </w:p>
  <w:p w:rsidR="00C035E7" w:rsidRDefault="00C035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9B7" w:rsidRDefault="000369B7" w:rsidP="00F63191">
      <w:pPr>
        <w:spacing w:after="0" w:line="240" w:lineRule="auto"/>
      </w:pPr>
      <w:r>
        <w:separator/>
      </w:r>
    </w:p>
  </w:footnote>
  <w:footnote w:type="continuationSeparator" w:id="0">
    <w:p w:rsidR="000369B7" w:rsidRDefault="000369B7" w:rsidP="00F631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C2B61"/>
    <w:multiLevelType w:val="hybridMultilevel"/>
    <w:tmpl w:val="C4686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97CC7"/>
    <w:multiLevelType w:val="hybridMultilevel"/>
    <w:tmpl w:val="7E088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915EA"/>
    <w:multiLevelType w:val="multilevel"/>
    <w:tmpl w:val="D3DE932C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3">
    <w:nsid w:val="19B736DD"/>
    <w:multiLevelType w:val="hybridMultilevel"/>
    <w:tmpl w:val="E34C5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57262"/>
    <w:multiLevelType w:val="hybridMultilevel"/>
    <w:tmpl w:val="EADE0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721B2"/>
    <w:multiLevelType w:val="multilevel"/>
    <w:tmpl w:val="3FD4F444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360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43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64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rFonts w:cs="Times New Roman" w:hint="default"/>
      </w:rPr>
    </w:lvl>
  </w:abstractNum>
  <w:abstractNum w:abstractNumId="6">
    <w:nsid w:val="2F2F61DA"/>
    <w:multiLevelType w:val="hybridMultilevel"/>
    <w:tmpl w:val="481E0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8E5838"/>
    <w:multiLevelType w:val="hybridMultilevel"/>
    <w:tmpl w:val="55B20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230B50"/>
    <w:multiLevelType w:val="hybridMultilevel"/>
    <w:tmpl w:val="4DE23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A31801"/>
    <w:multiLevelType w:val="hybridMultilevel"/>
    <w:tmpl w:val="09F2E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316770"/>
    <w:multiLevelType w:val="multilevel"/>
    <w:tmpl w:val="3FD4F44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11">
    <w:nsid w:val="4EAC7387"/>
    <w:multiLevelType w:val="hybridMultilevel"/>
    <w:tmpl w:val="8B48E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B82C1A"/>
    <w:multiLevelType w:val="hybridMultilevel"/>
    <w:tmpl w:val="23467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452A4F"/>
    <w:multiLevelType w:val="multilevel"/>
    <w:tmpl w:val="A0F6965C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60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43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64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rFonts w:cs="Times New Roman" w:hint="default"/>
      </w:rPr>
    </w:lvl>
  </w:abstractNum>
  <w:abstractNum w:abstractNumId="14">
    <w:nsid w:val="6B7231F6"/>
    <w:multiLevelType w:val="multilevel"/>
    <w:tmpl w:val="3FD4F44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15">
    <w:nsid w:val="6CF37E71"/>
    <w:multiLevelType w:val="hybridMultilevel"/>
    <w:tmpl w:val="1D3E4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DC2662"/>
    <w:multiLevelType w:val="multilevel"/>
    <w:tmpl w:val="175223A0"/>
    <w:lvl w:ilvl="0">
      <w:start w:val="6"/>
      <w:numFmt w:val="lowerRoman"/>
      <w:lvlText w:val="%1."/>
      <w:lvlJc w:val="right"/>
      <w:pPr>
        <w:ind w:left="180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252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11"/>
  </w:num>
  <w:num w:numId="5">
    <w:abstractNumId w:val="3"/>
  </w:num>
  <w:num w:numId="6">
    <w:abstractNumId w:val="8"/>
  </w:num>
  <w:num w:numId="7">
    <w:abstractNumId w:val="15"/>
  </w:num>
  <w:num w:numId="8">
    <w:abstractNumId w:val="9"/>
  </w:num>
  <w:num w:numId="9">
    <w:abstractNumId w:val="13"/>
  </w:num>
  <w:num w:numId="10">
    <w:abstractNumId w:val="6"/>
  </w:num>
  <w:num w:numId="11">
    <w:abstractNumId w:val="10"/>
  </w:num>
  <w:num w:numId="12">
    <w:abstractNumId w:val="5"/>
  </w:num>
  <w:num w:numId="13">
    <w:abstractNumId w:val="14"/>
  </w:num>
  <w:num w:numId="14">
    <w:abstractNumId w:val="2"/>
  </w:num>
  <w:num w:numId="15">
    <w:abstractNumId w:val="16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06B"/>
    <w:rsid w:val="000369B7"/>
    <w:rsid w:val="000B747E"/>
    <w:rsid w:val="000D1199"/>
    <w:rsid w:val="000D5A2D"/>
    <w:rsid w:val="000E2539"/>
    <w:rsid w:val="000E7EED"/>
    <w:rsid w:val="000F6A1C"/>
    <w:rsid w:val="00100A2F"/>
    <w:rsid w:val="00107C1A"/>
    <w:rsid w:val="0011709A"/>
    <w:rsid w:val="00160110"/>
    <w:rsid w:val="00165D76"/>
    <w:rsid w:val="001D6BEA"/>
    <w:rsid w:val="002224F0"/>
    <w:rsid w:val="00245754"/>
    <w:rsid w:val="00271E53"/>
    <w:rsid w:val="002845C2"/>
    <w:rsid w:val="00304584"/>
    <w:rsid w:val="0032246B"/>
    <w:rsid w:val="00346B8D"/>
    <w:rsid w:val="00356CF4"/>
    <w:rsid w:val="00366D0B"/>
    <w:rsid w:val="00375652"/>
    <w:rsid w:val="00383516"/>
    <w:rsid w:val="003844DB"/>
    <w:rsid w:val="003A409E"/>
    <w:rsid w:val="003F4E8D"/>
    <w:rsid w:val="00416E44"/>
    <w:rsid w:val="00502BE4"/>
    <w:rsid w:val="00506BC5"/>
    <w:rsid w:val="00536799"/>
    <w:rsid w:val="005802A0"/>
    <w:rsid w:val="005857E6"/>
    <w:rsid w:val="005A4C6D"/>
    <w:rsid w:val="005B79DD"/>
    <w:rsid w:val="005C3C4F"/>
    <w:rsid w:val="005C70A1"/>
    <w:rsid w:val="005E7640"/>
    <w:rsid w:val="005F4D43"/>
    <w:rsid w:val="006208D7"/>
    <w:rsid w:val="006B0DE1"/>
    <w:rsid w:val="006D02F1"/>
    <w:rsid w:val="00743628"/>
    <w:rsid w:val="00760D27"/>
    <w:rsid w:val="007B1BE6"/>
    <w:rsid w:val="007C728B"/>
    <w:rsid w:val="007C7C85"/>
    <w:rsid w:val="007E0395"/>
    <w:rsid w:val="007F675B"/>
    <w:rsid w:val="007F7C07"/>
    <w:rsid w:val="00823868"/>
    <w:rsid w:val="00827557"/>
    <w:rsid w:val="008719C0"/>
    <w:rsid w:val="0088642E"/>
    <w:rsid w:val="00886E0E"/>
    <w:rsid w:val="008A5405"/>
    <w:rsid w:val="008D1A8E"/>
    <w:rsid w:val="008F249E"/>
    <w:rsid w:val="00946362"/>
    <w:rsid w:val="00965A2A"/>
    <w:rsid w:val="00967948"/>
    <w:rsid w:val="00994A41"/>
    <w:rsid w:val="00996DD5"/>
    <w:rsid w:val="009C6EA3"/>
    <w:rsid w:val="009F7E66"/>
    <w:rsid w:val="00A11BD9"/>
    <w:rsid w:val="00A82574"/>
    <w:rsid w:val="00AA27B0"/>
    <w:rsid w:val="00AC3A97"/>
    <w:rsid w:val="00AD706B"/>
    <w:rsid w:val="00B05CBF"/>
    <w:rsid w:val="00B20462"/>
    <w:rsid w:val="00B546CF"/>
    <w:rsid w:val="00B65D92"/>
    <w:rsid w:val="00BA61F1"/>
    <w:rsid w:val="00BC4643"/>
    <w:rsid w:val="00BE49F4"/>
    <w:rsid w:val="00C01E6F"/>
    <w:rsid w:val="00C035E7"/>
    <w:rsid w:val="00C86C48"/>
    <w:rsid w:val="00C9758A"/>
    <w:rsid w:val="00CA2D3E"/>
    <w:rsid w:val="00CA4C08"/>
    <w:rsid w:val="00CC28BC"/>
    <w:rsid w:val="00CD7069"/>
    <w:rsid w:val="00D1777E"/>
    <w:rsid w:val="00D42CB1"/>
    <w:rsid w:val="00D63CD3"/>
    <w:rsid w:val="00DB2E41"/>
    <w:rsid w:val="00DE554C"/>
    <w:rsid w:val="00DE660A"/>
    <w:rsid w:val="00DF0E16"/>
    <w:rsid w:val="00E43145"/>
    <w:rsid w:val="00E576F1"/>
    <w:rsid w:val="00EB6678"/>
    <w:rsid w:val="00EF333D"/>
    <w:rsid w:val="00F05C01"/>
    <w:rsid w:val="00F069C3"/>
    <w:rsid w:val="00F06C5E"/>
    <w:rsid w:val="00F20443"/>
    <w:rsid w:val="00F4349D"/>
    <w:rsid w:val="00F63191"/>
    <w:rsid w:val="00F64CD1"/>
    <w:rsid w:val="00F9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06B"/>
    <w:pPr>
      <w:spacing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D70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70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70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D70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aliases w:val="Body"/>
    <w:uiPriority w:val="1"/>
    <w:qFormat/>
    <w:rsid w:val="00AD706B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AD70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70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D706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D706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D70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0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06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06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D706B"/>
    <w:pPr>
      <w:spacing w:after="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0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06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63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191"/>
  </w:style>
  <w:style w:type="paragraph" w:styleId="Footer">
    <w:name w:val="footer"/>
    <w:basedOn w:val="Normal"/>
    <w:link w:val="FooterChar"/>
    <w:uiPriority w:val="99"/>
    <w:unhideWhenUsed/>
    <w:rsid w:val="00F63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1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06B"/>
    <w:pPr>
      <w:spacing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D70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70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70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D70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aliases w:val="Body"/>
    <w:uiPriority w:val="1"/>
    <w:qFormat/>
    <w:rsid w:val="00AD706B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AD70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70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D706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D706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D70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0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06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06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D706B"/>
    <w:pPr>
      <w:spacing w:after="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0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06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63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191"/>
  </w:style>
  <w:style w:type="paragraph" w:styleId="Footer">
    <w:name w:val="footer"/>
    <w:basedOn w:val="Normal"/>
    <w:link w:val="FooterChar"/>
    <w:uiPriority w:val="99"/>
    <w:unhideWhenUsed/>
    <w:rsid w:val="00F63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qualityforum.org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079C9F2DB0E6419EBB9BE3C6F3B017" ma:contentTypeVersion="0" ma:contentTypeDescription="Create a new document." ma:contentTypeScope="" ma:versionID="077bd394d213835c910b5b1865298e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1AECF-0F98-4BFD-BFD5-93F77786E59C}">
  <ds:schemaRefs>
    <ds:schemaRef ds:uri="http://schemas.microsoft.com/office/2006/metadata/properties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391119B-9BE9-4D1A-84D2-0CF381815E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9C0D37-CAC4-4366-889F-6C47698A92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11FB2D4-442A-4CE0-AF31-7BCC98D22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HHSC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Woodard,Jennifer (HHSC)</dc:creator>
  <cp:lastModifiedBy>Windows User</cp:lastModifiedBy>
  <cp:revision>2</cp:revision>
  <dcterms:created xsi:type="dcterms:W3CDTF">2014-09-25T14:49:00Z</dcterms:created>
  <dcterms:modified xsi:type="dcterms:W3CDTF">2014-09-25T14:49:00Z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0x010100A5079C9F2DB0E6419EBB9BE3C6F3B017</vt:lpwstr>
  </property>
</Properties>
</file>