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304584" w:rsidP="00AD706B">
      <w:pPr>
        <w:pStyle w:val="Heading1"/>
      </w:pPr>
      <w:r>
        <w:t>IT-5.1</w:t>
      </w:r>
      <w:r w:rsidR="00B97F4A">
        <w:t>.</w:t>
      </w:r>
      <w:r w:rsidR="007B1BE6">
        <w:t>e</w:t>
      </w:r>
      <w:r w:rsidR="00AD706B">
        <w:t xml:space="preserve">:  </w:t>
      </w:r>
      <w:r w:rsidR="006208D7" w:rsidRPr="006208D7">
        <w:t xml:space="preserve">Improved Cost Savings: Demonstrate cost savings in care delivery - </w:t>
      </w:r>
      <w:r w:rsidR="007B1BE6" w:rsidRPr="007B1BE6">
        <w:t xml:space="preserve">Cost Benefit Analysis </w:t>
      </w:r>
      <w:r w:rsidR="00AD706B">
        <w:t>(</w:t>
      </w:r>
      <w:r w:rsidR="007B1BE6" w:rsidRPr="007B1BE6">
        <w:t>Cost Benefit Analysis</w:t>
      </w:r>
      <w:r w:rsidR="00AD706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Pr="00DC34F3" w:rsidRDefault="00B97F4A" w:rsidP="00B05CBF">
            <w:pPr>
              <w:pStyle w:val="NoSpacing"/>
              <w:rPr>
                <w:b/>
              </w:rPr>
            </w:pPr>
            <w:r w:rsidRPr="00DC34F3">
              <w:rPr>
                <w:b/>
              </w:rPr>
              <w:t xml:space="preserve">IT-5.1.e </w:t>
            </w:r>
            <w:r w:rsidR="005E7640" w:rsidRPr="00DC34F3">
              <w:rPr>
                <w:b/>
              </w:rPr>
              <w:t xml:space="preserve">Improved Cost Savings: Demonstrate cost savings in care delivery - </w:t>
            </w:r>
            <w:r w:rsidR="007B1BE6" w:rsidRPr="00DC34F3">
              <w:rPr>
                <w:b/>
              </w:rPr>
              <w:t>Cost Benefit Analysis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AD706B" w:rsidRDefault="007B1BE6" w:rsidP="00B05CBF">
            <w:pPr>
              <w:pStyle w:val="NoSpacing"/>
            </w:pPr>
            <w:r w:rsidRPr="007B1BE6">
              <w:t>Cost Benefit Analysis (CBA) is a systematic analysis of one or more methods or programs (interventions) for achieving a given objective and measures both benefits and costs in monetary units</w:t>
            </w:r>
          </w:p>
          <w:p w:rsidR="00786784" w:rsidRDefault="00786784" w:rsidP="00B05CBF">
            <w:pPr>
              <w:pStyle w:val="NoSpacing"/>
            </w:pPr>
          </w:p>
          <w:p w:rsidR="00786784" w:rsidRDefault="00786784" w:rsidP="00B05CBF">
            <w:pPr>
              <w:pStyle w:val="NoSpacing"/>
            </w:pPr>
            <w:r>
              <w:t xml:space="preserve">Note: Provider will select one formula to use for reporting purposes. Providers cannot change formulas during the subsequent reporting periods. </w:t>
            </w:r>
            <w:bookmarkStart w:id="0" w:name="_GoBack"/>
            <w:bookmarkEnd w:id="0"/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100A2F" w:rsidP="006208D7">
            <w:pPr>
              <w:pStyle w:val="NoSpacing"/>
            </w:pPr>
            <w:r>
              <w:t>Not applicable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6208D7" w:rsidP="00F4349D">
            <w:pPr>
              <w:pStyle w:val="NoSpacing"/>
            </w:pPr>
            <w:r w:rsidRPr="006208D7">
              <w:t>National Institutes of Health (NIH); Centers for Disease Control and Prevention (CDC)</w:t>
            </w:r>
          </w:p>
        </w:tc>
      </w:tr>
      <w:tr w:rsidR="00AD706B" w:rsidTr="00F4349D">
        <w:tc>
          <w:tcPr>
            <w:tcW w:w="2718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947AA2" w:rsidRDefault="00947AA2" w:rsidP="006208D7">
            <w:pPr>
              <w:pStyle w:val="NoSpacing"/>
            </w:pPr>
            <w:hyperlink r:id="rId12" w:history="1">
              <w:r w:rsidRPr="00583770">
                <w:rPr>
                  <w:rStyle w:val="Hyperlink"/>
                </w:rPr>
                <w:t>http://www.nlm.nih.gov/nichsr/hta101/ta10107.html</w:t>
              </w:r>
            </w:hyperlink>
          </w:p>
          <w:p w:rsidR="00AD706B" w:rsidRPr="00631E85" w:rsidRDefault="00AD706B" w:rsidP="006208D7">
            <w:pPr>
              <w:pStyle w:val="NoSpacing"/>
            </w:pPr>
          </w:p>
        </w:tc>
      </w:tr>
      <w:tr w:rsidR="00AD706B" w:rsidTr="00F4349D">
        <w:tc>
          <w:tcPr>
            <w:tcW w:w="2718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6208D7" w:rsidRDefault="006208D7" w:rsidP="00AD706B">
            <w:pPr>
              <w:pStyle w:val="NoSpacing"/>
            </w:pPr>
            <w:r>
              <w:t>SA for project area 2.5</w:t>
            </w:r>
          </w:p>
          <w:p w:rsidR="00AD706B" w:rsidRDefault="006208D7" w:rsidP="00AD706B">
            <w:pPr>
              <w:pStyle w:val="NoSpacing"/>
            </w:pPr>
            <w:r w:rsidRPr="006208D7">
              <w:t>NSA for all other project areas</w:t>
            </w:r>
          </w:p>
        </w:tc>
      </w:tr>
      <w:tr w:rsidR="00747FE8" w:rsidTr="00F4349D">
        <w:tc>
          <w:tcPr>
            <w:tcW w:w="2718" w:type="dxa"/>
          </w:tcPr>
          <w:p w:rsidR="00747FE8" w:rsidRDefault="00747FE8" w:rsidP="00F4349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:rsidR="00747FE8" w:rsidRDefault="00747FE8" w:rsidP="00B410EB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747FE8" w:rsidRPr="008331B0" w:rsidTr="00B410EB">
              <w:tc>
                <w:tcPr>
                  <w:tcW w:w="2209" w:type="dxa"/>
                </w:tcPr>
                <w:p w:rsidR="00747FE8" w:rsidRPr="008331B0" w:rsidRDefault="00747FE8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747FE8" w:rsidRPr="008331B0" w:rsidRDefault="00747FE8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747FE8" w:rsidRPr="008331B0" w:rsidRDefault="00747FE8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747FE8" w:rsidRPr="008331B0" w:rsidRDefault="00747FE8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747FE8" w:rsidRPr="008331B0" w:rsidRDefault="00747FE8" w:rsidP="00B410EB">
                  <w:pPr>
                    <w:pStyle w:val="NoSpacing"/>
                    <w:jc w:val="center"/>
                  </w:pPr>
                </w:p>
              </w:tc>
            </w:tr>
            <w:tr w:rsidR="00747FE8" w:rsidRPr="008331B0" w:rsidTr="00B410EB">
              <w:tc>
                <w:tcPr>
                  <w:tcW w:w="2209" w:type="dxa"/>
                </w:tcPr>
                <w:p w:rsidR="00747FE8" w:rsidRPr="008331B0" w:rsidRDefault="00747FE8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747FE8" w:rsidRDefault="00747FE8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:rsidR="00747FE8" w:rsidRDefault="00747FE8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747FE8" w:rsidRPr="008331B0" w:rsidRDefault="00747FE8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:rsidR="00747FE8" w:rsidRDefault="00747FE8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:rsidR="00747FE8" w:rsidRDefault="00747FE8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747FE8" w:rsidRPr="008331B0" w:rsidRDefault="00747FE8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:rsidR="00747FE8" w:rsidRDefault="00747FE8" w:rsidP="007742D2">
            <w:pPr>
              <w:pStyle w:val="NoSpacing"/>
            </w:pP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AD706B" w:rsidRDefault="006208D7" w:rsidP="00B05CBF">
            <w:pPr>
              <w:pStyle w:val="NoSpacing"/>
            </w:pPr>
            <w:r>
              <w:t>None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:rsidR="0047308F" w:rsidRDefault="000F1C99" w:rsidP="000F1C99">
            <w:pPr>
              <w:pStyle w:val="NoSpacing"/>
              <w:rPr>
                <w:b/>
              </w:rPr>
            </w:pPr>
            <w:r w:rsidRPr="000F1C99">
              <w:rPr>
                <w:b/>
              </w:rPr>
              <w:t xml:space="preserve">Formula 1: </w:t>
            </w:r>
            <w:r w:rsidR="00947AA2" w:rsidRPr="00947AA2">
              <w:rPr>
                <w:b/>
              </w:rPr>
              <w:t>Cost Benefit Ratio Approach</w:t>
            </w:r>
          </w:p>
          <w:p w:rsidR="000F1C99" w:rsidRPr="000F1C99" w:rsidRDefault="000F1C99" w:rsidP="000F1C99">
            <w:pPr>
              <w:pStyle w:val="NoSpacing"/>
              <w:rPr>
                <w:vertAlign w:val="subscript"/>
              </w:rPr>
            </w:pPr>
            <w:r w:rsidRPr="003831C5">
              <w:t>Cost Benefit Ratio Approach</w:t>
            </w:r>
            <w:r w:rsidR="0047308F" w:rsidRPr="003831C5">
              <w:t xml:space="preserve"> Denominator</w:t>
            </w:r>
            <w:r w:rsidRPr="003831C5">
              <w:t>:</w:t>
            </w:r>
            <w:r w:rsidR="0047308F" w:rsidRPr="003831C5">
              <w:t xml:space="preserve"> </w:t>
            </w:r>
            <w:r w:rsidRPr="000F1C99">
              <w:t>$</w:t>
            </w:r>
            <w:proofErr w:type="spellStart"/>
            <w:r w:rsidRPr="000F1C99">
              <w:t>Benefit</w:t>
            </w:r>
            <w:r w:rsidRPr="000F1C99">
              <w:rPr>
                <w:vertAlign w:val="subscript"/>
              </w:rPr>
              <w:t>Int</w:t>
            </w:r>
            <w:proofErr w:type="spellEnd"/>
            <w:r w:rsidRPr="000F1C99">
              <w:t xml:space="preserve"> - $</w:t>
            </w:r>
            <w:proofErr w:type="spellStart"/>
            <w:r w:rsidRPr="000F1C99">
              <w:t>Benefit</w:t>
            </w:r>
            <w:r w:rsidRPr="000F1C99">
              <w:rPr>
                <w:vertAlign w:val="subscript"/>
              </w:rPr>
              <w:t>Comp</w:t>
            </w:r>
            <w:proofErr w:type="spellEnd"/>
          </w:p>
          <w:p w:rsidR="00AD706B" w:rsidRDefault="000F1C99" w:rsidP="001D6BEA">
            <w:pPr>
              <w:pStyle w:val="NoSpacing"/>
            </w:pPr>
            <w:r w:rsidRPr="000F1C99">
              <w:rPr>
                <w:u w:val="single"/>
              </w:rPr>
              <w:t>Abbreviations</w:t>
            </w:r>
            <w:r w:rsidRPr="000F1C99">
              <w:t>: Int: Intervention; Comp: Comparator</w:t>
            </w:r>
          </w:p>
          <w:p w:rsidR="00747FE8" w:rsidRDefault="00747FE8" w:rsidP="001D6BEA">
            <w:pPr>
              <w:pStyle w:val="NoSpacing"/>
            </w:pPr>
          </w:p>
          <w:p w:rsidR="00747FE8" w:rsidRPr="00DC34F3" w:rsidRDefault="00747FE8" w:rsidP="001D6BEA">
            <w:pPr>
              <w:pStyle w:val="NoSpacing"/>
              <w:rPr>
                <w:b/>
              </w:rPr>
            </w:pPr>
            <w:r w:rsidRPr="00DC34F3">
              <w:rPr>
                <w:b/>
              </w:rPr>
              <w:t>Formula 2: Cost Benefit, Net Benefit Approach</w:t>
            </w:r>
          </w:p>
          <w:p w:rsidR="00747FE8" w:rsidRPr="009F7E66" w:rsidRDefault="00747FE8" w:rsidP="001D6BEA">
            <w:pPr>
              <w:pStyle w:val="NoSpacing"/>
            </w:pPr>
            <w:r>
              <w:t>Net Benefit Approach is not reported as a ratio, so there is no applicable denominator</w:t>
            </w:r>
          </w:p>
        </w:tc>
      </w:tr>
      <w:tr w:rsidR="00B05CBF" w:rsidTr="00B05CBF">
        <w:trPr>
          <w:trHeight w:val="728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B05CBF" w:rsidRPr="0012650D" w:rsidRDefault="006B0DE1" w:rsidP="00F4349D">
            <w:pPr>
              <w:pStyle w:val="NoSpacing"/>
              <w:rPr>
                <w:b/>
              </w:rPr>
            </w:pPr>
            <w:r w:rsidRPr="006B0DE1">
              <w:t>None</w:t>
            </w:r>
          </w:p>
        </w:tc>
      </w:tr>
      <w:tr w:rsidR="00B05CBF" w:rsidTr="00B05CBF">
        <w:trPr>
          <w:trHeight w:val="710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B05CBF" w:rsidRPr="001D6BEA" w:rsidRDefault="006B0DE1" w:rsidP="00F4349D">
            <w:pPr>
              <w:pStyle w:val="NoSpacing"/>
            </w:pPr>
            <w:r w:rsidRPr="006B0DE1">
              <w:t>None</w:t>
            </w:r>
          </w:p>
        </w:tc>
      </w:tr>
      <w:tr w:rsidR="00D63CD3" w:rsidTr="00F4349D">
        <w:tc>
          <w:tcPr>
            <w:tcW w:w="2718" w:type="dxa"/>
          </w:tcPr>
          <w:p w:rsidR="00D63CD3" w:rsidRDefault="00D63CD3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75, providers must </w:t>
            </w:r>
            <w:r>
              <w:lastRenderedPageBreak/>
              <w:t>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7742D2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7742D2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F4349D">
        <w:tc>
          <w:tcPr>
            <w:tcW w:w="2718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:rsidR="0047308F" w:rsidRDefault="000F1C99" w:rsidP="000F1C99">
            <w:pPr>
              <w:pStyle w:val="NoSpacing"/>
              <w:rPr>
                <w:b/>
                <w:u w:val="single"/>
              </w:rPr>
            </w:pPr>
            <w:r w:rsidRPr="000F1C99">
              <w:rPr>
                <w:b/>
                <w:u w:val="single"/>
              </w:rPr>
              <w:t xml:space="preserve">Formula 1: </w:t>
            </w:r>
            <w:r w:rsidR="00947AA2" w:rsidRPr="00947AA2">
              <w:rPr>
                <w:b/>
                <w:u w:val="single"/>
              </w:rPr>
              <w:t>Cost Benefit Ratio Approach</w:t>
            </w:r>
          </w:p>
          <w:p w:rsidR="000F1C99" w:rsidRPr="003831C5" w:rsidRDefault="000F1C99" w:rsidP="000F1C99">
            <w:pPr>
              <w:pStyle w:val="NoSpacing"/>
              <w:spacing w:line="276" w:lineRule="auto"/>
            </w:pPr>
            <w:r w:rsidRPr="003831C5">
              <w:t>Cost Benefit Ratio Approach</w:t>
            </w:r>
            <w:r w:rsidR="0047308F" w:rsidRPr="003831C5">
              <w:t xml:space="preserve"> Numerator</w:t>
            </w:r>
            <w:r w:rsidRPr="003831C5">
              <w:t>:</w:t>
            </w:r>
          </w:p>
          <w:p w:rsidR="007B1BE6" w:rsidRPr="007B1BE6" w:rsidRDefault="007B1BE6" w:rsidP="007B1BE6">
            <w:pPr>
              <w:pStyle w:val="NoSpacing"/>
              <w:rPr>
                <w:vertAlign w:val="subscript"/>
              </w:rPr>
            </w:pPr>
            <w:r w:rsidRPr="007B1BE6">
              <w:t>$</w:t>
            </w:r>
            <w:proofErr w:type="spellStart"/>
            <w:r w:rsidRPr="007B1BE6">
              <w:t>Cost</w:t>
            </w:r>
            <w:r w:rsidRPr="007B1BE6">
              <w:rPr>
                <w:vertAlign w:val="subscript"/>
              </w:rPr>
              <w:t>Int</w:t>
            </w:r>
            <w:proofErr w:type="spellEnd"/>
            <w:r w:rsidRPr="007B1BE6">
              <w:t xml:space="preserve"> - $</w:t>
            </w:r>
            <w:proofErr w:type="spellStart"/>
            <w:r w:rsidRPr="007B1BE6">
              <w:t>Cost</w:t>
            </w:r>
            <w:r w:rsidRPr="007B1BE6">
              <w:rPr>
                <w:vertAlign w:val="subscript"/>
              </w:rPr>
              <w:t>Comp</w:t>
            </w:r>
            <w:proofErr w:type="spellEnd"/>
            <w:r w:rsidRPr="007B1BE6">
              <w:t xml:space="preserve"> </w:t>
            </w:r>
          </w:p>
          <w:p w:rsidR="007B1BE6" w:rsidRPr="007B1BE6" w:rsidRDefault="007B1BE6" w:rsidP="000F1C99">
            <w:pPr>
              <w:pStyle w:val="NoSpacing"/>
              <w:rPr>
                <w:vertAlign w:val="subscript"/>
              </w:rPr>
            </w:pPr>
            <w:r w:rsidRPr="007B1BE6">
              <w:rPr>
                <w:u w:val="single"/>
              </w:rPr>
              <w:t>Abbreviations</w:t>
            </w:r>
            <w:r w:rsidRPr="007B1BE6">
              <w:t>: Int: Intervention; Comp: Comparator</w:t>
            </w:r>
          </w:p>
          <w:p w:rsidR="007B1BE6" w:rsidRDefault="007B1BE6" w:rsidP="000F1C99">
            <w:pPr>
              <w:pStyle w:val="NoSpacing"/>
            </w:pPr>
          </w:p>
          <w:p w:rsidR="000F1C99" w:rsidRDefault="000F1C99" w:rsidP="000F1C99">
            <w:pPr>
              <w:pStyle w:val="NoSpacing"/>
            </w:pPr>
            <w:r>
              <w:t xml:space="preserve">OR </w:t>
            </w:r>
          </w:p>
          <w:p w:rsidR="00747FE8" w:rsidRDefault="00747FE8" w:rsidP="000F1C99">
            <w:pPr>
              <w:pStyle w:val="NoSpacing"/>
            </w:pPr>
          </w:p>
          <w:p w:rsidR="0047308F" w:rsidRPr="003831C5" w:rsidRDefault="0047308F" w:rsidP="000F1C99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Formula 2:</w:t>
            </w:r>
            <w:r w:rsidR="00947AA2">
              <w:rPr>
                <w:b/>
              </w:rPr>
              <w:t xml:space="preserve"> </w:t>
            </w:r>
            <w:r w:rsidR="00947AA2" w:rsidRPr="00947AA2">
              <w:rPr>
                <w:b/>
              </w:rPr>
              <w:t>Cost-Benefit, Net Benefit Approach</w:t>
            </w:r>
          </w:p>
          <w:p w:rsidR="000F1C99" w:rsidRPr="003831C5" w:rsidRDefault="000F1C99" w:rsidP="000F1C99">
            <w:pPr>
              <w:pStyle w:val="NoSpacing"/>
              <w:spacing w:line="276" w:lineRule="auto"/>
            </w:pPr>
            <w:r w:rsidRPr="003831C5">
              <w:t>Cost-Benefit, Net Benefit Approach:</w:t>
            </w:r>
          </w:p>
          <w:p w:rsidR="00D42CB1" w:rsidRPr="009F7E66" w:rsidRDefault="007B1BE6" w:rsidP="00747FE8">
            <w:pPr>
              <w:pStyle w:val="NoSpacing"/>
            </w:pPr>
            <w:r w:rsidRPr="007B1BE6">
              <w:t>CB Net = ($</w:t>
            </w:r>
            <w:proofErr w:type="spellStart"/>
            <w:r w:rsidRPr="007B1BE6">
              <w:t>Cost</w:t>
            </w:r>
            <w:r w:rsidRPr="007B1BE6">
              <w:rPr>
                <w:vertAlign w:val="subscript"/>
              </w:rPr>
              <w:t>Int</w:t>
            </w:r>
            <w:proofErr w:type="spellEnd"/>
            <w:r w:rsidRPr="007B1BE6">
              <w:t xml:space="preserve"> - $</w:t>
            </w:r>
            <w:proofErr w:type="spellStart"/>
            <w:r w:rsidRPr="007B1BE6">
              <w:t>Cost</w:t>
            </w:r>
            <w:r w:rsidRPr="007B1BE6">
              <w:rPr>
                <w:vertAlign w:val="subscript"/>
              </w:rPr>
              <w:t>Comp</w:t>
            </w:r>
            <w:proofErr w:type="spellEnd"/>
            <w:r w:rsidRPr="000F1C99">
              <w:t>)</w:t>
            </w:r>
            <w:r w:rsidRPr="007B1BE6">
              <w:t xml:space="preserve"> </w:t>
            </w:r>
            <w:r w:rsidR="000F1C99">
              <w:t>–</w:t>
            </w:r>
            <w:r w:rsidRPr="007B1BE6">
              <w:t xml:space="preserve"> </w:t>
            </w:r>
            <w:r w:rsidR="000F1C99">
              <w:t>(</w:t>
            </w:r>
            <w:r w:rsidRPr="007B1BE6">
              <w:t>$</w:t>
            </w:r>
            <w:proofErr w:type="spellStart"/>
            <w:r w:rsidRPr="007B1BE6">
              <w:t>Benefit</w:t>
            </w:r>
            <w:r w:rsidRPr="007B1BE6">
              <w:rPr>
                <w:vertAlign w:val="subscript"/>
              </w:rPr>
              <w:t>Int</w:t>
            </w:r>
            <w:proofErr w:type="spellEnd"/>
            <w:r w:rsidRPr="007B1BE6">
              <w:t xml:space="preserve"> - $</w:t>
            </w:r>
            <w:proofErr w:type="spellStart"/>
            <w:r w:rsidRPr="007B1BE6">
              <w:t>Benefit</w:t>
            </w:r>
            <w:r w:rsidRPr="007B1BE6">
              <w:rPr>
                <w:vertAlign w:val="subscript"/>
              </w:rPr>
              <w:t>Comp</w:t>
            </w:r>
            <w:proofErr w:type="spellEnd"/>
            <w:r w:rsidR="000F1C99" w:rsidRPr="000F1C99">
              <w:t>)</w:t>
            </w:r>
          </w:p>
        </w:tc>
      </w:tr>
      <w:tr w:rsidR="00AC3A97" w:rsidTr="00F4349D">
        <w:tc>
          <w:tcPr>
            <w:tcW w:w="2718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:rsidR="00AC3A97" w:rsidRPr="00AA27B0" w:rsidRDefault="00AA27B0" w:rsidP="006B0DE1">
            <w:pPr>
              <w:pStyle w:val="NoSpacing"/>
            </w:pPr>
            <w:r w:rsidRPr="00AA27B0">
              <w:t>None</w:t>
            </w:r>
          </w:p>
        </w:tc>
      </w:tr>
      <w:tr w:rsidR="00AC3A97" w:rsidTr="00F4349D">
        <w:tc>
          <w:tcPr>
            <w:tcW w:w="2718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AC3A97" w:rsidRPr="001D6BEA" w:rsidRDefault="006B0DE1" w:rsidP="00F4349D">
            <w:pPr>
              <w:pStyle w:val="NoSpacing"/>
            </w:pPr>
            <w:r>
              <w:t>None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CD7069" w:rsidP="00CD7069">
            <w:pPr>
              <w:pStyle w:val="NoSpacing"/>
            </w:pPr>
            <w:r>
              <w:t>Multiple</w:t>
            </w:r>
          </w:p>
        </w:tc>
      </w:tr>
      <w:tr w:rsidR="00AD706B" w:rsidTr="00F4349D">
        <w:tc>
          <w:tcPr>
            <w:tcW w:w="2718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7742D2" w:rsidP="006B0DE1">
            <w:pPr>
              <w:pStyle w:val="NoSpacing"/>
            </w:pPr>
            <w:r>
              <w:t>Administrative and Clinical Data</w:t>
            </w:r>
          </w:p>
        </w:tc>
      </w:tr>
      <w:tr w:rsidR="00747FE8" w:rsidTr="00F4349D">
        <w:tc>
          <w:tcPr>
            <w:tcW w:w="2718" w:type="dxa"/>
          </w:tcPr>
          <w:p w:rsidR="00747FE8" w:rsidRPr="00717546" w:rsidRDefault="00747FE8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747FE8" w:rsidRDefault="00747FE8" w:rsidP="00B410EB">
            <w:pPr>
              <w:pStyle w:val="NoSpacing"/>
            </w:pPr>
            <w:r>
              <w:t>All denominator subsets are permissible for this outcome</w:t>
            </w:r>
          </w:p>
          <w:p w:rsidR="00747FE8" w:rsidRDefault="00747FE8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E5" w:rsidRDefault="00972BE5" w:rsidP="00F63191">
      <w:pPr>
        <w:spacing w:after="0" w:line="240" w:lineRule="auto"/>
      </w:pPr>
      <w:r>
        <w:separator/>
      </w:r>
    </w:p>
  </w:endnote>
  <w:endnote w:type="continuationSeparator" w:id="0">
    <w:p w:rsidR="00972BE5" w:rsidRDefault="00972BE5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8E" w:rsidRDefault="00C03C8E">
    <w:pPr>
      <w:pStyle w:val="Footer"/>
    </w:pPr>
    <w:r>
      <w:t>09/</w:t>
    </w:r>
    <w:r w:rsidR="00786784">
      <w:t>25</w:t>
    </w:r>
    <w:r>
      <w:t>/14</w:t>
    </w:r>
  </w:p>
  <w:p w:rsidR="007742D2" w:rsidRDefault="00774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E5" w:rsidRDefault="00972BE5" w:rsidP="00F63191">
      <w:pPr>
        <w:spacing w:after="0" w:line="240" w:lineRule="auto"/>
      </w:pPr>
      <w:r>
        <w:separator/>
      </w:r>
    </w:p>
  </w:footnote>
  <w:footnote w:type="continuationSeparator" w:id="0">
    <w:p w:rsidR="00972BE5" w:rsidRDefault="00972BE5" w:rsidP="00F6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5EA"/>
    <w:multiLevelType w:val="multilevel"/>
    <w:tmpl w:val="D3DE93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DC721B2"/>
    <w:multiLevelType w:val="multilevel"/>
    <w:tmpl w:val="3FD4F44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6">
    <w:nsid w:val="2F2F61DA"/>
    <w:multiLevelType w:val="hybridMultilevel"/>
    <w:tmpl w:val="481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409001B">
      <w:start w:val="1"/>
      <w:numFmt w:val="lowerRoman"/>
      <w:lvlText w:val="%6."/>
      <w:lvlJc w:val="right"/>
      <w:pPr>
        <w:ind w:left="4176" w:hanging="180"/>
      </w:p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6770"/>
    <w:multiLevelType w:val="multilevel"/>
    <w:tmpl w:val="3FD4F4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52A4F"/>
    <w:multiLevelType w:val="multilevel"/>
    <w:tmpl w:val="A0F696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14">
    <w:nsid w:val="6B7231F6"/>
    <w:multiLevelType w:val="multilevel"/>
    <w:tmpl w:val="3FD4F4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D1199"/>
    <w:rsid w:val="000D5A2D"/>
    <w:rsid w:val="000E7EED"/>
    <w:rsid w:val="000F1C99"/>
    <w:rsid w:val="00100A2F"/>
    <w:rsid w:val="00107C1A"/>
    <w:rsid w:val="0011709A"/>
    <w:rsid w:val="00160110"/>
    <w:rsid w:val="00165D76"/>
    <w:rsid w:val="001D6BEA"/>
    <w:rsid w:val="002224F0"/>
    <w:rsid w:val="00245754"/>
    <w:rsid w:val="00271E53"/>
    <w:rsid w:val="002845C2"/>
    <w:rsid w:val="0029421F"/>
    <w:rsid w:val="00304584"/>
    <w:rsid w:val="0032246B"/>
    <w:rsid w:val="00346B8D"/>
    <w:rsid w:val="00356CF4"/>
    <w:rsid w:val="00366D0B"/>
    <w:rsid w:val="00375652"/>
    <w:rsid w:val="003831C5"/>
    <w:rsid w:val="00383516"/>
    <w:rsid w:val="003844DB"/>
    <w:rsid w:val="003A409E"/>
    <w:rsid w:val="003F4E8D"/>
    <w:rsid w:val="00416E44"/>
    <w:rsid w:val="0047308F"/>
    <w:rsid w:val="00502BE4"/>
    <w:rsid w:val="00506BC5"/>
    <w:rsid w:val="00536799"/>
    <w:rsid w:val="005802A0"/>
    <w:rsid w:val="005857E6"/>
    <w:rsid w:val="005B79DD"/>
    <w:rsid w:val="005C70A1"/>
    <w:rsid w:val="005E7640"/>
    <w:rsid w:val="005F4D43"/>
    <w:rsid w:val="00602D3C"/>
    <w:rsid w:val="006208D7"/>
    <w:rsid w:val="006B0DE1"/>
    <w:rsid w:val="00743628"/>
    <w:rsid w:val="00747FE8"/>
    <w:rsid w:val="00760D27"/>
    <w:rsid w:val="007742D2"/>
    <w:rsid w:val="00786784"/>
    <w:rsid w:val="007B1BE6"/>
    <w:rsid w:val="007C728B"/>
    <w:rsid w:val="007C7C85"/>
    <w:rsid w:val="007E0395"/>
    <w:rsid w:val="007F675B"/>
    <w:rsid w:val="007F7C07"/>
    <w:rsid w:val="00823868"/>
    <w:rsid w:val="00827557"/>
    <w:rsid w:val="0088642E"/>
    <w:rsid w:val="00886E0E"/>
    <w:rsid w:val="008A5405"/>
    <w:rsid w:val="008D1A8E"/>
    <w:rsid w:val="008F249E"/>
    <w:rsid w:val="00947AA2"/>
    <w:rsid w:val="00965A2A"/>
    <w:rsid w:val="00967948"/>
    <w:rsid w:val="00972BE5"/>
    <w:rsid w:val="00994A41"/>
    <w:rsid w:val="00996DD5"/>
    <w:rsid w:val="009A49B6"/>
    <w:rsid w:val="009C6EA3"/>
    <w:rsid w:val="009F7E66"/>
    <w:rsid w:val="00A11BD9"/>
    <w:rsid w:val="00A82574"/>
    <w:rsid w:val="00AA27B0"/>
    <w:rsid w:val="00AC3A97"/>
    <w:rsid w:val="00AD706B"/>
    <w:rsid w:val="00B05CBF"/>
    <w:rsid w:val="00B20462"/>
    <w:rsid w:val="00B546CF"/>
    <w:rsid w:val="00B65D92"/>
    <w:rsid w:val="00B97F4A"/>
    <w:rsid w:val="00BA61F1"/>
    <w:rsid w:val="00BC4643"/>
    <w:rsid w:val="00C01E6F"/>
    <w:rsid w:val="00C03C8E"/>
    <w:rsid w:val="00C86C48"/>
    <w:rsid w:val="00C9758A"/>
    <w:rsid w:val="00CA2D3E"/>
    <w:rsid w:val="00CA4C08"/>
    <w:rsid w:val="00CC28BC"/>
    <w:rsid w:val="00CD7069"/>
    <w:rsid w:val="00D1777E"/>
    <w:rsid w:val="00D42CB1"/>
    <w:rsid w:val="00D532D8"/>
    <w:rsid w:val="00D63CD3"/>
    <w:rsid w:val="00DC34F3"/>
    <w:rsid w:val="00DE660A"/>
    <w:rsid w:val="00E43145"/>
    <w:rsid w:val="00EB6678"/>
    <w:rsid w:val="00EF333D"/>
    <w:rsid w:val="00F05C01"/>
    <w:rsid w:val="00F069C3"/>
    <w:rsid w:val="00F06C5E"/>
    <w:rsid w:val="00F20443"/>
    <w:rsid w:val="00F4349D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lm.nih.gov/nichsr/hta101/ta1010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945B-4019-4FD1-B06A-39ECB17F0E3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939F28-2B67-4C26-AD7C-225F9ACAF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D7BFF-EF55-42F5-832B-9B4C19AC5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D84C9-6C4B-4D35-BBFD-7A63001A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2014-09-25T14:39:00Z</dcterms:created>
  <dcterms:modified xsi:type="dcterms:W3CDTF">2014-09-25T14:39:00Z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