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6B" w:rsidRDefault="00304584" w:rsidP="00AD706B">
      <w:pPr>
        <w:pStyle w:val="Heading1"/>
      </w:pPr>
      <w:r>
        <w:t>IT-5.</w:t>
      </w:r>
      <w:bookmarkStart w:id="0" w:name="_GoBack"/>
      <w:r>
        <w:t>1</w:t>
      </w:r>
      <w:r w:rsidR="00CF63BA">
        <w:t>.</w:t>
      </w:r>
      <w:r w:rsidR="005E7640">
        <w:t>d</w:t>
      </w:r>
      <w:bookmarkEnd w:id="0"/>
      <w:r w:rsidR="00AD706B">
        <w:t xml:space="preserve">:  </w:t>
      </w:r>
      <w:r w:rsidR="006208D7" w:rsidRPr="006208D7">
        <w:t xml:space="preserve">Improved Cost Savings: Demonstrate cost savings in care delivery - </w:t>
      </w:r>
      <w:r w:rsidR="005E7640" w:rsidRPr="005E7640">
        <w:t xml:space="preserve">Cost Utility Analysis </w:t>
      </w:r>
      <w:r w:rsidR="00AD706B">
        <w:t>(</w:t>
      </w:r>
      <w:r w:rsidR="005E7640" w:rsidRPr="005E7640">
        <w:t>Cost Utility Analysis</w:t>
      </w:r>
      <w:r w:rsidR="00AD706B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58"/>
      </w:tblGrid>
      <w:tr w:rsidR="00AD706B" w:rsidTr="0011709A">
        <w:trPr>
          <w:tblHeader/>
        </w:trPr>
        <w:tc>
          <w:tcPr>
            <w:tcW w:w="2718" w:type="dxa"/>
            <w:shd w:val="clear" w:color="auto" w:fill="F2F2F2" w:themeFill="background1" w:themeFillShade="F2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Measure Title</w:t>
            </w:r>
          </w:p>
        </w:tc>
        <w:tc>
          <w:tcPr>
            <w:tcW w:w="6858" w:type="dxa"/>
            <w:shd w:val="clear" w:color="auto" w:fill="F2F2F2" w:themeFill="background1" w:themeFillShade="F2"/>
          </w:tcPr>
          <w:p w:rsidR="00AD706B" w:rsidRPr="00A43DAC" w:rsidRDefault="00E00CA8" w:rsidP="00B05CBF">
            <w:pPr>
              <w:pStyle w:val="NoSpacing"/>
              <w:rPr>
                <w:b/>
              </w:rPr>
            </w:pPr>
            <w:r w:rsidRPr="00A43DAC">
              <w:rPr>
                <w:b/>
              </w:rPr>
              <w:t xml:space="preserve">IT-5.1.d </w:t>
            </w:r>
            <w:r w:rsidR="005E7640" w:rsidRPr="00A43DAC">
              <w:rPr>
                <w:b/>
              </w:rPr>
              <w:t>Improved Cost Savings: Demonstrate cost savings in care delivery - Cost Utility Analysis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Description</w:t>
            </w:r>
          </w:p>
        </w:tc>
        <w:tc>
          <w:tcPr>
            <w:tcW w:w="6858" w:type="dxa"/>
          </w:tcPr>
          <w:p w:rsidR="00AD706B" w:rsidRDefault="005E7640" w:rsidP="00B05CBF">
            <w:pPr>
              <w:pStyle w:val="NoSpacing"/>
            </w:pPr>
            <w:r w:rsidRPr="005E7640">
              <w:t xml:space="preserve">Cost Utility Analysis </w:t>
            </w:r>
            <w:r>
              <w:t>(</w:t>
            </w:r>
            <w:r w:rsidRPr="005E7640">
              <w:t>CUA</w:t>
            </w:r>
            <w:r>
              <w:t>)</w:t>
            </w:r>
            <w:r w:rsidRPr="005E7640">
              <w:t xml:space="preserve"> is conducted when effects are weighted by utility measures denoting the patient’s or member of the general public’s preference for, or overall desirability of, a particular outcome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NQF Number</w:t>
            </w:r>
          </w:p>
        </w:tc>
        <w:tc>
          <w:tcPr>
            <w:tcW w:w="6858" w:type="dxa"/>
          </w:tcPr>
          <w:p w:rsidR="00AD706B" w:rsidRDefault="00100A2F" w:rsidP="006208D7">
            <w:pPr>
              <w:pStyle w:val="NoSpacing"/>
            </w:pPr>
            <w:r>
              <w:t>Not applicable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Measure Steward</w:t>
            </w:r>
          </w:p>
        </w:tc>
        <w:tc>
          <w:tcPr>
            <w:tcW w:w="6858" w:type="dxa"/>
          </w:tcPr>
          <w:p w:rsidR="00AD706B" w:rsidRPr="00631E85" w:rsidRDefault="006208D7" w:rsidP="00F4349D">
            <w:pPr>
              <w:pStyle w:val="NoSpacing"/>
            </w:pPr>
            <w:r w:rsidRPr="006208D7">
              <w:t>National Institutes of Health (NIH); Centers for Disease Control and Prevention (CDC)</w:t>
            </w:r>
          </w:p>
        </w:tc>
      </w:tr>
      <w:tr w:rsidR="00AD706B" w:rsidTr="00F4349D">
        <w:tc>
          <w:tcPr>
            <w:tcW w:w="2718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Link to measure citation</w:t>
            </w:r>
          </w:p>
        </w:tc>
        <w:tc>
          <w:tcPr>
            <w:tcW w:w="6858" w:type="dxa"/>
          </w:tcPr>
          <w:p w:rsidR="00AD706B" w:rsidRPr="00631E85" w:rsidRDefault="00DB034C" w:rsidP="006208D7">
            <w:pPr>
              <w:pStyle w:val="NoSpacing"/>
            </w:pPr>
            <w:r w:rsidRPr="00DB034C">
              <w:t>http://www.nlm.nih.gov/nichsr/hta101/ta10107.html</w:t>
            </w:r>
          </w:p>
        </w:tc>
      </w:tr>
      <w:tr w:rsidR="00AD706B" w:rsidTr="00F4349D">
        <w:tc>
          <w:tcPr>
            <w:tcW w:w="2718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Measure type</w:t>
            </w:r>
          </w:p>
        </w:tc>
        <w:tc>
          <w:tcPr>
            <w:tcW w:w="6858" w:type="dxa"/>
          </w:tcPr>
          <w:p w:rsidR="006208D7" w:rsidRDefault="006208D7" w:rsidP="00AD706B">
            <w:pPr>
              <w:pStyle w:val="NoSpacing"/>
            </w:pPr>
            <w:r>
              <w:t>SA for project area 2.5</w:t>
            </w:r>
          </w:p>
          <w:p w:rsidR="00AD706B" w:rsidRDefault="006208D7" w:rsidP="00AD706B">
            <w:pPr>
              <w:pStyle w:val="NoSpacing"/>
            </w:pPr>
            <w:r w:rsidRPr="006208D7">
              <w:t>NSA for all other project areas</w:t>
            </w:r>
          </w:p>
        </w:tc>
      </w:tr>
      <w:tr w:rsidR="00053A43" w:rsidTr="00F4349D">
        <w:tc>
          <w:tcPr>
            <w:tcW w:w="2718" w:type="dxa"/>
          </w:tcPr>
          <w:p w:rsidR="00053A43" w:rsidRDefault="00053A43" w:rsidP="00F4349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Performance and Achievement Type </w:t>
            </w:r>
          </w:p>
        </w:tc>
        <w:tc>
          <w:tcPr>
            <w:tcW w:w="6858" w:type="dxa"/>
          </w:tcPr>
          <w:p w:rsidR="00053A43" w:rsidRDefault="00053A43" w:rsidP="00B410EB">
            <w:pPr>
              <w:pStyle w:val="NoSpacing"/>
            </w:pPr>
            <w:r>
              <w:t>Pay for Performance (P4P) – Improvement Over Self (IOS): Prior Authorization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09"/>
              <w:gridCol w:w="2209"/>
              <w:gridCol w:w="2209"/>
            </w:tblGrid>
            <w:tr w:rsidR="00053A43" w:rsidRPr="008331B0" w:rsidTr="00B410EB">
              <w:tc>
                <w:tcPr>
                  <w:tcW w:w="2209" w:type="dxa"/>
                </w:tcPr>
                <w:p w:rsidR="00053A43" w:rsidRPr="008331B0" w:rsidRDefault="00053A43" w:rsidP="00B410EB">
                  <w:pPr>
                    <w:pStyle w:val="NoSpacing"/>
                  </w:pPr>
                </w:p>
              </w:tc>
              <w:tc>
                <w:tcPr>
                  <w:tcW w:w="2209" w:type="dxa"/>
                </w:tcPr>
                <w:p w:rsidR="00053A43" w:rsidRPr="008331B0" w:rsidRDefault="00053A43" w:rsidP="00B410EB">
                  <w:pPr>
                    <w:pStyle w:val="NoSpacing"/>
                    <w:jc w:val="center"/>
                  </w:pPr>
                  <w:r w:rsidRPr="008331B0">
                    <w:t>DY4</w:t>
                  </w:r>
                </w:p>
                <w:p w:rsidR="00053A43" w:rsidRPr="008331B0" w:rsidRDefault="00053A43" w:rsidP="00B410EB">
                  <w:pPr>
                    <w:pStyle w:val="NoSpacing"/>
                    <w:jc w:val="center"/>
                  </w:pPr>
                </w:p>
              </w:tc>
              <w:tc>
                <w:tcPr>
                  <w:tcW w:w="2209" w:type="dxa"/>
                </w:tcPr>
                <w:p w:rsidR="00053A43" w:rsidRPr="008331B0" w:rsidRDefault="00053A43" w:rsidP="00B410EB">
                  <w:pPr>
                    <w:pStyle w:val="NoSpacing"/>
                    <w:jc w:val="center"/>
                  </w:pPr>
                  <w:r w:rsidRPr="008331B0">
                    <w:t>DY5</w:t>
                  </w:r>
                </w:p>
                <w:p w:rsidR="00053A43" w:rsidRPr="008331B0" w:rsidRDefault="00053A43" w:rsidP="00B410EB">
                  <w:pPr>
                    <w:pStyle w:val="NoSpacing"/>
                    <w:jc w:val="center"/>
                  </w:pPr>
                </w:p>
              </w:tc>
            </w:tr>
            <w:tr w:rsidR="00053A43" w:rsidRPr="008331B0" w:rsidTr="00B410EB">
              <w:tc>
                <w:tcPr>
                  <w:tcW w:w="2209" w:type="dxa"/>
                </w:tcPr>
                <w:p w:rsidR="00053A43" w:rsidRPr="008331B0" w:rsidRDefault="00053A43" w:rsidP="00B410EB">
                  <w:pPr>
                    <w:pStyle w:val="NoSpacing"/>
                    <w:jc w:val="center"/>
                  </w:pPr>
                  <w:r>
                    <w:t>Achievement Level Calculation</w:t>
                  </w:r>
                </w:p>
              </w:tc>
              <w:tc>
                <w:tcPr>
                  <w:tcW w:w="2209" w:type="dxa"/>
                </w:tcPr>
                <w:p w:rsidR="00053A43" w:rsidRDefault="00053A43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*(performance gap)</w:t>
                  </w:r>
                </w:p>
                <w:p w:rsidR="00053A43" w:rsidRDefault="00053A43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053A43" w:rsidRPr="008331B0" w:rsidRDefault="00053A43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5% *(</w:t>
                  </w:r>
                  <w:r>
                    <w:t>0</w:t>
                  </w:r>
                  <w:r w:rsidRPr="00EA4A39">
                    <w:t xml:space="preserve">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  <w:tc>
                <w:tcPr>
                  <w:tcW w:w="2209" w:type="dxa"/>
                </w:tcPr>
                <w:p w:rsidR="00053A43" w:rsidRDefault="00053A43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</w:t>
                  </w:r>
                  <w:r w:rsidRPr="00EA4A39">
                    <w:t>% *(performance gap)</w:t>
                  </w:r>
                </w:p>
                <w:p w:rsidR="00053A43" w:rsidRDefault="00053A43" w:rsidP="00B410EB">
                  <w:pPr>
                    <w:pStyle w:val="NoSpacing"/>
                    <w:jc w:val="center"/>
                  </w:pPr>
                  <w:r w:rsidRPr="00EA4A39">
                    <w:t>=</w:t>
                  </w:r>
                </w:p>
                <w:p w:rsidR="00053A43" w:rsidRPr="008331B0" w:rsidRDefault="00053A43" w:rsidP="00B410EB">
                  <w:pPr>
                    <w:pStyle w:val="NoSpacing"/>
                    <w:jc w:val="center"/>
                  </w:pPr>
                  <w:r w:rsidRPr="00EA4A39">
                    <w:t xml:space="preserve">Baseline </w:t>
                  </w:r>
                  <w:r>
                    <w:t>-</w:t>
                  </w:r>
                  <w:r w:rsidRPr="00EA4A39">
                    <w:t xml:space="preserve"> </w:t>
                  </w:r>
                  <w:r>
                    <w:t>10% *(</w:t>
                  </w:r>
                  <w:r w:rsidRPr="00EA4A39">
                    <w:t xml:space="preserve">0% – </w:t>
                  </w:r>
                  <w:r>
                    <w:t>B</w:t>
                  </w:r>
                  <w:r w:rsidRPr="00EA4A39">
                    <w:t>aseline rate)</w:t>
                  </w:r>
                </w:p>
              </w:tc>
            </w:tr>
          </w:tbl>
          <w:p w:rsidR="00053A43" w:rsidRDefault="00053A43" w:rsidP="00982111">
            <w:pPr>
              <w:pStyle w:val="NoSpacing"/>
            </w:pP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DSRIP-specific modifications to Measure Steward’s specification</w:t>
            </w:r>
          </w:p>
        </w:tc>
        <w:tc>
          <w:tcPr>
            <w:tcW w:w="6858" w:type="dxa"/>
          </w:tcPr>
          <w:p w:rsidR="00AD706B" w:rsidRDefault="006208D7" w:rsidP="00B05CBF">
            <w:pPr>
              <w:pStyle w:val="NoSpacing"/>
            </w:pPr>
            <w:r>
              <w:t>None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1D6BEA">
            <w:pPr>
              <w:pStyle w:val="NoSpacing"/>
              <w:rPr>
                <w:b/>
              </w:rPr>
            </w:pPr>
            <w:r w:rsidRPr="00717546">
              <w:rPr>
                <w:b/>
              </w:rPr>
              <w:t>Denominator</w:t>
            </w:r>
            <w:r w:rsidR="00C01E6F">
              <w:rPr>
                <w:b/>
              </w:rPr>
              <w:t xml:space="preserve"> </w:t>
            </w:r>
            <w:r w:rsidR="00B05CBF">
              <w:rPr>
                <w:b/>
              </w:rPr>
              <w:t>Description</w:t>
            </w:r>
            <w:r w:rsidR="00C01E6F">
              <w:rPr>
                <w:b/>
              </w:rPr>
              <w:t xml:space="preserve"> </w:t>
            </w:r>
          </w:p>
        </w:tc>
        <w:tc>
          <w:tcPr>
            <w:tcW w:w="6858" w:type="dxa"/>
          </w:tcPr>
          <w:p w:rsidR="00053A43" w:rsidRDefault="00053A43" w:rsidP="00A43DAC">
            <w:pPr>
              <w:pStyle w:val="NoSpacing"/>
            </w:pPr>
            <w:r w:rsidRPr="00F4349D">
              <w:t>$</w:t>
            </w:r>
            <w:proofErr w:type="spellStart"/>
            <w:r w:rsidRPr="00F4349D">
              <w:t>Utile</w:t>
            </w:r>
            <w:r w:rsidRPr="00F4349D">
              <w:rPr>
                <w:vertAlign w:val="subscript"/>
              </w:rPr>
              <w:t>Int</w:t>
            </w:r>
            <w:proofErr w:type="spellEnd"/>
            <w:r w:rsidRPr="00F4349D">
              <w:t xml:space="preserve"> - $</w:t>
            </w:r>
            <w:proofErr w:type="spellStart"/>
            <w:r w:rsidRPr="00F4349D">
              <w:t>Utile</w:t>
            </w:r>
            <w:r w:rsidRPr="00F4349D">
              <w:rPr>
                <w:vertAlign w:val="subscript"/>
              </w:rPr>
              <w:t>Comp</w:t>
            </w:r>
            <w:proofErr w:type="spellEnd"/>
          </w:p>
          <w:p w:rsidR="00053A43" w:rsidRPr="009F7E66" w:rsidRDefault="00053A43" w:rsidP="00053A43">
            <w:pPr>
              <w:pStyle w:val="NoSpacing"/>
            </w:pPr>
            <w:proofErr w:type="spellStart"/>
            <w:r w:rsidRPr="00F4349D">
              <w:t>Utiles</w:t>
            </w:r>
            <w:proofErr w:type="spellEnd"/>
            <w:r w:rsidRPr="00F4349D">
              <w:t>, units of utility or preferen</w:t>
            </w:r>
            <w:r>
              <w:t>ce, are often measured in QALYs</w:t>
            </w:r>
            <w:r w:rsidRPr="00F4349D">
              <w:t xml:space="preserve"> Abbreviations: Int: Intervention; Comp: Comparator</w:t>
            </w:r>
          </w:p>
        </w:tc>
      </w:tr>
      <w:tr w:rsidR="00B05CBF" w:rsidTr="00B05CBF">
        <w:trPr>
          <w:trHeight w:val="728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Inclusions</w:t>
            </w:r>
          </w:p>
        </w:tc>
        <w:tc>
          <w:tcPr>
            <w:tcW w:w="6858" w:type="dxa"/>
          </w:tcPr>
          <w:p w:rsidR="00B05CBF" w:rsidRPr="0012650D" w:rsidRDefault="006B0DE1" w:rsidP="00F4349D">
            <w:pPr>
              <w:pStyle w:val="NoSpacing"/>
              <w:rPr>
                <w:b/>
              </w:rPr>
            </w:pPr>
            <w:r w:rsidRPr="006B0DE1">
              <w:t>None</w:t>
            </w:r>
          </w:p>
        </w:tc>
      </w:tr>
      <w:tr w:rsidR="00B05CBF" w:rsidTr="00B05CBF">
        <w:trPr>
          <w:trHeight w:val="710"/>
        </w:trPr>
        <w:tc>
          <w:tcPr>
            <w:tcW w:w="2718" w:type="dxa"/>
          </w:tcPr>
          <w:p w:rsidR="00B05CBF" w:rsidRPr="00717546" w:rsidRDefault="00B05CBF" w:rsidP="00C01E6F">
            <w:pPr>
              <w:pStyle w:val="NoSpacing"/>
              <w:rPr>
                <w:b/>
              </w:rPr>
            </w:pPr>
            <w:r>
              <w:rPr>
                <w:b/>
              </w:rPr>
              <w:t>Denominator Exclusions</w:t>
            </w:r>
          </w:p>
        </w:tc>
        <w:tc>
          <w:tcPr>
            <w:tcW w:w="6858" w:type="dxa"/>
          </w:tcPr>
          <w:p w:rsidR="00B05CBF" w:rsidRPr="001D6BEA" w:rsidRDefault="006B0DE1" w:rsidP="00F4349D">
            <w:pPr>
              <w:pStyle w:val="NoSpacing"/>
            </w:pPr>
            <w:r w:rsidRPr="006B0DE1">
              <w:t>None</w:t>
            </w:r>
          </w:p>
        </w:tc>
      </w:tr>
      <w:tr w:rsidR="00D63CD3" w:rsidTr="00F4349D">
        <w:tc>
          <w:tcPr>
            <w:tcW w:w="2718" w:type="dxa"/>
          </w:tcPr>
          <w:p w:rsidR="00D63CD3" w:rsidRDefault="00D63CD3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Denominator Size</w:t>
            </w:r>
          </w:p>
        </w:tc>
        <w:tc>
          <w:tcPr>
            <w:tcW w:w="6858" w:type="dxa"/>
          </w:tcPr>
          <w:p w:rsidR="00D63CD3" w:rsidRDefault="00D63CD3" w:rsidP="00D63CD3">
            <w:pPr>
              <w:pStyle w:val="NoSpacing"/>
            </w:pPr>
            <w:r>
              <w:t>Providers</w:t>
            </w:r>
            <w:r w:rsidRPr="00D63CD3">
              <w:t xml:space="preserve"> must report a </w:t>
            </w:r>
            <w:r w:rsidR="0011709A">
              <w:t>minimum of 3</w:t>
            </w:r>
            <w:r w:rsidR="0032246B">
              <w:t xml:space="preserve">0 cases per measure during a </w:t>
            </w:r>
            <w:r w:rsidR="0011709A">
              <w:t>12-month measurement period (15 cases for a 6-month measurement period)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>denominator size is less than or equal to 75, providers must report on all cases. No sampling is allowed.</w:t>
            </w:r>
          </w:p>
          <w:p w:rsidR="0032246B" w:rsidRDefault="0032246B" w:rsidP="0032246B">
            <w:pPr>
              <w:pStyle w:val="NoSpacing"/>
              <w:numPr>
                <w:ilvl w:val="0"/>
                <w:numId w:val="8"/>
              </w:numPr>
            </w:pPr>
            <w:r>
              <w:t xml:space="preserve">For a measurement period </w:t>
            </w:r>
            <w:r w:rsidR="003A409E">
              <w:t xml:space="preserve">(either 6 or 12 </w:t>
            </w:r>
            <w:r w:rsidR="0011709A">
              <w:t xml:space="preserve">months) where the </w:t>
            </w:r>
            <w:r>
              <w:t xml:space="preserve">denominator size is less than or equal to 380 but greater than 75, providers must report on </w:t>
            </w:r>
            <w:r w:rsidR="003A409E">
              <w:t xml:space="preserve">all cases (preferred, particularly for providers using an electronic health record) or </w:t>
            </w:r>
            <w:r>
              <w:t>a random sample of not less than 76 cases.</w:t>
            </w:r>
          </w:p>
          <w:p w:rsidR="0032246B" w:rsidRPr="001D6BEA" w:rsidRDefault="0032246B" w:rsidP="00982111">
            <w:pPr>
              <w:pStyle w:val="NoSpacing"/>
              <w:numPr>
                <w:ilvl w:val="0"/>
                <w:numId w:val="8"/>
              </w:numPr>
            </w:pPr>
            <w:r>
              <w:lastRenderedPageBreak/>
              <w:t xml:space="preserve">For a measurement period </w:t>
            </w:r>
            <w:r w:rsidR="0011709A">
              <w:t>(either 6 or 12-months) where the denominator size</w:t>
            </w:r>
            <w:r>
              <w:t xml:space="preserve"> is greater than </w:t>
            </w:r>
            <w:r w:rsidR="00982111">
              <w:t>380</w:t>
            </w:r>
            <w:r>
              <w:t xml:space="preserve">, providers must report on </w:t>
            </w:r>
            <w:r w:rsidR="003A409E">
              <w:t xml:space="preserve">all cases (preferred, particularly for providers using an electronic health record) or </w:t>
            </w:r>
            <w:r>
              <w:t xml:space="preserve">a random sample of cases that is not less than 20% of all cases; however, providers may cap the </w:t>
            </w:r>
            <w:r w:rsidR="0011709A">
              <w:t xml:space="preserve">total </w:t>
            </w:r>
            <w:r>
              <w:t xml:space="preserve">sample size at 300 cases. </w:t>
            </w:r>
          </w:p>
        </w:tc>
      </w:tr>
      <w:tr w:rsidR="00AC3A97" w:rsidTr="00F4349D">
        <w:tc>
          <w:tcPr>
            <w:tcW w:w="2718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 xml:space="preserve">Numerator Description </w:t>
            </w:r>
          </w:p>
        </w:tc>
        <w:tc>
          <w:tcPr>
            <w:tcW w:w="6858" w:type="dxa"/>
          </w:tcPr>
          <w:p w:rsidR="00F4349D" w:rsidRPr="00F4349D" w:rsidRDefault="00F4349D" w:rsidP="00F4349D">
            <w:pPr>
              <w:pStyle w:val="NoSpacing"/>
            </w:pPr>
            <w:r w:rsidRPr="00F4349D">
              <w:t>$</w:t>
            </w:r>
            <w:proofErr w:type="spellStart"/>
            <w:r w:rsidRPr="00F4349D">
              <w:t>Cost</w:t>
            </w:r>
            <w:r w:rsidRPr="00F4349D">
              <w:rPr>
                <w:vertAlign w:val="subscript"/>
              </w:rPr>
              <w:t>Int</w:t>
            </w:r>
            <w:proofErr w:type="spellEnd"/>
            <w:r w:rsidRPr="00F4349D">
              <w:t xml:space="preserve"> - $</w:t>
            </w:r>
            <w:proofErr w:type="spellStart"/>
            <w:r w:rsidRPr="00F4349D">
              <w:t>Cost</w:t>
            </w:r>
            <w:r w:rsidRPr="00F4349D">
              <w:rPr>
                <w:vertAlign w:val="subscript"/>
              </w:rPr>
              <w:t>Comp</w:t>
            </w:r>
            <w:proofErr w:type="spellEnd"/>
          </w:p>
          <w:p w:rsidR="00304584" w:rsidRPr="009F7E66" w:rsidRDefault="00F4349D">
            <w:pPr>
              <w:pStyle w:val="NoSpacing"/>
              <w:numPr>
                <w:ilvl w:val="0"/>
                <w:numId w:val="11"/>
              </w:numPr>
            </w:pPr>
            <w:r w:rsidRPr="00F4349D">
              <w:t xml:space="preserve">Abbreviations: </w:t>
            </w:r>
            <w:proofErr w:type="spellStart"/>
            <w:r w:rsidRPr="00F4349D">
              <w:t>Int</w:t>
            </w:r>
            <w:proofErr w:type="spellEnd"/>
            <w:r w:rsidRPr="00F4349D">
              <w:t>: Intervention; Comp: Comparator</w:t>
            </w:r>
          </w:p>
        </w:tc>
      </w:tr>
      <w:tr w:rsidR="00AC3A97" w:rsidTr="00F4349D">
        <w:tc>
          <w:tcPr>
            <w:tcW w:w="2718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Numerator Inclusions</w:t>
            </w:r>
          </w:p>
        </w:tc>
        <w:tc>
          <w:tcPr>
            <w:tcW w:w="6858" w:type="dxa"/>
          </w:tcPr>
          <w:p w:rsidR="00AC3A97" w:rsidRPr="00AA27B0" w:rsidRDefault="00AA27B0" w:rsidP="006B0DE1">
            <w:pPr>
              <w:pStyle w:val="NoSpacing"/>
            </w:pPr>
            <w:r w:rsidRPr="00AA27B0">
              <w:t>None</w:t>
            </w:r>
          </w:p>
        </w:tc>
      </w:tr>
      <w:tr w:rsidR="00AC3A97" w:rsidTr="00F4349D">
        <w:tc>
          <w:tcPr>
            <w:tcW w:w="2718" w:type="dxa"/>
          </w:tcPr>
          <w:p w:rsidR="00AC3A97" w:rsidRPr="00717546" w:rsidRDefault="00AC3A97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Numerator Exclusions</w:t>
            </w:r>
          </w:p>
        </w:tc>
        <w:tc>
          <w:tcPr>
            <w:tcW w:w="6858" w:type="dxa"/>
          </w:tcPr>
          <w:p w:rsidR="00AC3A97" w:rsidRPr="001D6BEA" w:rsidRDefault="006B0DE1" w:rsidP="00F4349D">
            <w:pPr>
              <w:pStyle w:val="NoSpacing"/>
            </w:pPr>
            <w:r>
              <w:t>None</w:t>
            </w:r>
          </w:p>
        </w:tc>
      </w:tr>
      <w:tr w:rsidR="00AD706B" w:rsidTr="00F4349D">
        <w:tc>
          <w:tcPr>
            <w:tcW w:w="2718" w:type="dxa"/>
          </w:tcPr>
          <w:p w:rsidR="00AD706B" w:rsidRPr="00717546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Setting</w:t>
            </w:r>
          </w:p>
        </w:tc>
        <w:tc>
          <w:tcPr>
            <w:tcW w:w="6858" w:type="dxa"/>
          </w:tcPr>
          <w:p w:rsidR="00AD706B" w:rsidRDefault="00CD7069" w:rsidP="00CD7069">
            <w:pPr>
              <w:pStyle w:val="NoSpacing"/>
            </w:pPr>
            <w:r>
              <w:t>Multiple</w:t>
            </w:r>
          </w:p>
        </w:tc>
      </w:tr>
      <w:tr w:rsidR="00AD706B" w:rsidTr="00F4349D">
        <w:tc>
          <w:tcPr>
            <w:tcW w:w="2718" w:type="dxa"/>
          </w:tcPr>
          <w:p w:rsidR="00AD706B" w:rsidRDefault="00AD706B" w:rsidP="00F4349D">
            <w:pPr>
              <w:pStyle w:val="NoSpacing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6858" w:type="dxa"/>
          </w:tcPr>
          <w:p w:rsidR="00AD706B" w:rsidRDefault="00982111" w:rsidP="006B0DE1">
            <w:pPr>
              <w:pStyle w:val="NoSpacing"/>
            </w:pPr>
            <w:r>
              <w:t>Administrative and Clinical Data</w:t>
            </w:r>
          </w:p>
        </w:tc>
      </w:tr>
      <w:tr w:rsidR="00053A43" w:rsidTr="00F4349D">
        <w:tc>
          <w:tcPr>
            <w:tcW w:w="2718" w:type="dxa"/>
          </w:tcPr>
          <w:p w:rsidR="00053A43" w:rsidRPr="00717546" w:rsidRDefault="00053A43" w:rsidP="00F05C01">
            <w:pPr>
              <w:pStyle w:val="NoSpacing"/>
              <w:rPr>
                <w:b/>
              </w:rPr>
            </w:pPr>
            <w:r>
              <w:rPr>
                <w:b/>
              </w:rPr>
              <w:t>Allowable Denominator Sub-sets</w:t>
            </w:r>
          </w:p>
        </w:tc>
        <w:tc>
          <w:tcPr>
            <w:tcW w:w="6858" w:type="dxa"/>
          </w:tcPr>
          <w:p w:rsidR="00053A43" w:rsidRDefault="00053A43" w:rsidP="00B410EB">
            <w:pPr>
              <w:pStyle w:val="NoSpacing"/>
            </w:pPr>
            <w:r>
              <w:t>All denominator subsets are permissible for this outcome</w:t>
            </w:r>
          </w:p>
          <w:p w:rsidR="00053A43" w:rsidRDefault="00053A43" w:rsidP="007F7C07">
            <w:pPr>
              <w:pStyle w:val="NoSpacing"/>
            </w:pPr>
            <w:r>
              <w:t> </w:t>
            </w:r>
          </w:p>
        </w:tc>
      </w:tr>
    </w:tbl>
    <w:p w:rsidR="00356CF4" w:rsidRPr="008F249E" w:rsidRDefault="00356CF4" w:rsidP="007C7C85">
      <w:pPr>
        <w:pStyle w:val="Heading2"/>
      </w:pPr>
    </w:p>
    <w:sectPr w:rsidR="00356CF4" w:rsidRPr="008F249E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7B0" w:rsidRDefault="00AA27B0" w:rsidP="00F63191">
      <w:pPr>
        <w:spacing w:after="0" w:line="240" w:lineRule="auto"/>
      </w:pPr>
      <w:r>
        <w:separator/>
      </w:r>
    </w:p>
  </w:endnote>
  <w:endnote w:type="continuationSeparator" w:id="0">
    <w:p w:rsidR="00AA27B0" w:rsidRDefault="00AA27B0" w:rsidP="00F63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A43" w:rsidRDefault="00053A43">
    <w:pPr>
      <w:pStyle w:val="Footer"/>
    </w:pPr>
    <w:r>
      <w:t>09/</w:t>
    </w:r>
    <w:r w:rsidR="002669AD">
      <w:t>25</w:t>
    </w:r>
    <w:r>
      <w:t>/14</w:t>
    </w:r>
  </w:p>
  <w:p w:rsidR="00982111" w:rsidRDefault="009821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7B0" w:rsidRDefault="00AA27B0" w:rsidP="00F63191">
      <w:pPr>
        <w:spacing w:after="0" w:line="240" w:lineRule="auto"/>
      </w:pPr>
      <w:r>
        <w:separator/>
      </w:r>
    </w:p>
  </w:footnote>
  <w:footnote w:type="continuationSeparator" w:id="0">
    <w:p w:rsidR="00AA27B0" w:rsidRDefault="00AA27B0" w:rsidP="00F63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2B61"/>
    <w:multiLevelType w:val="hybridMultilevel"/>
    <w:tmpl w:val="C4686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97CC7"/>
    <w:multiLevelType w:val="hybridMultilevel"/>
    <w:tmpl w:val="7E088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36DD"/>
    <w:multiLevelType w:val="hybridMultilevel"/>
    <w:tmpl w:val="E34C5D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57262"/>
    <w:multiLevelType w:val="hybridMultilevel"/>
    <w:tmpl w:val="EADE0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F61DA"/>
    <w:multiLevelType w:val="hybridMultilevel"/>
    <w:tmpl w:val="481E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E5838"/>
    <w:multiLevelType w:val="hybridMultilevel"/>
    <w:tmpl w:val="55B20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230B50"/>
    <w:multiLevelType w:val="hybridMultilevel"/>
    <w:tmpl w:val="4DE23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1801"/>
    <w:multiLevelType w:val="hybridMultilevel"/>
    <w:tmpl w:val="09F2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16770"/>
    <w:multiLevelType w:val="multilevel"/>
    <w:tmpl w:val="3FD4F4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default"/>
      </w:rPr>
    </w:lvl>
  </w:abstractNum>
  <w:abstractNum w:abstractNumId="9">
    <w:nsid w:val="4EAC7387"/>
    <w:multiLevelType w:val="hybridMultilevel"/>
    <w:tmpl w:val="8B48E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82C1A"/>
    <w:multiLevelType w:val="hybridMultilevel"/>
    <w:tmpl w:val="234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52A4F"/>
    <w:multiLevelType w:val="multilevel"/>
    <w:tmpl w:val="A0F6965C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43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7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920" w:hanging="180"/>
      </w:pPr>
      <w:rPr>
        <w:rFonts w:cs="Times New Roman" w:hint="default"/>
      </w:rPr>
    </w:lvl>
  </w:abstractNum>
  <w:abstractNum w:abstractNumId="12">
    <w:nsid w:val="6CF37E71"/>
    <w:multiLevelType w:val="hybridMultilevel"/>
    <w:tmpl w:val="1D3E4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2"/>
  </w:num>
  <w:num w:numId="8">
    <w:abstractNumId w:val="7"/>
  </w:num>
  <w:num w:numId="9">
    <w:abstractNumId w:val="11"/>
  </w:num>
  <w:num w:numId="10">
    <w:abstractNumId w:val="4"/>
  </w:num>
  <w:num w:numId="11">
    <w:abstractNumId w:val="8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6B"/>
    <w:rsid w:val="00053A43"/>
    <w:rsid w:val="000D1199"/>
    <w:rsid w:val="000D5A2D"/>
    <w:rsid w:val="000E7EED"/>
    <w:rsid w:val="00100A2F"/>
    <w:rsid w:val="00107C1A"/>
    <w:rsid w:val="0011709A"/>
    <w:rsid w:val="00160110"/>
    <w:rsid w:val="00165D76"/>
    <w:rsid w:val="001D6BEA"/>
    <w:rsid w:val="002224F0"/>
    <w:rsid w:val="00245754"/>
    <w:rsid w:val="002669AD"/>
    <w:rsid w:val="00271E53"/>
    <w:rsid w:val="002845C2"/>
    <w:rsid w:val="00304584"/>
    <w:rsid w:val="0032246B"/>
    <w:rsid w:val="00346B8D"/>
    <w:rsid w:val="00356CF4"/>
    <w:rsid w:val="00366D0B"/>
    <w:rsid w:val="00375652"/>
    <w:rsid w:val="00383516"/>
    <w:rsid w:val="003844DB"/>
    <w:rsid w:val="003A409E"/>
    <w:rsid w:val="003D38B1"/>
    <w:rsid w:val="003F4E8D"/>
    <w:rsid w:val="00416E44"/>
    <w:rsid w:val="0044257A"/>
    <w:rsid w:val="00502BE4"/>
    <w:rsid w:val="00506BC5"/>
    <w:rsid w:val="00536799"/>
    <w:rsid w:val="005802A0"/>
    <w:rsid w:val="005857E6"/>
    <w:rsid w:val="005B79DD"/>
    <w:rsid w:val="005C70A1"/>
    <w:rsid w:val="005E7640"/>
    <w:rsid w:val="005F4D43"/>
    <w:rsid w:val="006208D7"/>
    <w:rsid w:val="006B0DE1"/>
    <w:rsid w:val="00743628"/>
    <w:rsid w:val="00760D27"/>
    <w:rsid w:val="007C728B"/>
    <w:rsid w:val="007C7C85"/>
    <w:rsid w:val="007E0395"/>
    <w:rsid w:val="007F675B"/>
    <w:rsid w:val="007F7C07"/>
    <w:rsid w:val="00823868"/>
    <w:rsid w:val="00827557"/>
    <w:rsid w:val="0088642E"/>
    <w:rsid w:val="00886E0E"/>
    <w:rsid w:val="008A5405"/>
    <w:rsid w:val="008D1A8E"/>
    <w:rsid w:val="008F249E"/>
    <w:rsid w:val="00965A2A"/>
    <w:rsid w:val="00967948"/>
    <w:rsid w:val="00982111"/>
    <w:rsid w:val="00994A41"/>
    <w:rsid w:val="00996DD5"/>
    <w:rsid w:val="009C6EA3"/>
    <w:rsid w:val="009F7E66"/>
    <w:rsid w:val="00A11BD9"/>
    <w:rsid w:val="00A43DAC"/>
    <w:rsid w:val="00A82574"/>
    <w:rsid w:val="00AA27B0"/>
    <w:rsid w:val="00AC3A97"/>
    <w:rsid w:val="00AD706B"/>
    <w:rsid w:val="00B05CBF"/>
    <w:rsid w:val="00B20462"/>
    <w:rsid w:val="00B546CF"/>
    <w:rsid w:val="00B65D92"/>
    <w:rsid w:val="00BA61F1"/>
    <w:rsid w:val="00BC4643"/>
    <w:rsid w:val="00BD0D10"/>
    <w:rsid w:val="00C01E6F"/>
    <w:rsid w:val="00C86C48"/>
    <w:rsid w:val="00C9758A"/>
    <w:rsid w:val="00CA2D3E"/>
    <w:rsid w:val="00CA4C08"/>
    <w:rsid w:val="00CC28BC"/>
    <w:rsid w:val="00CD7069"/>
    <w:rsid w:val="00CF63BA"/>
    <w:rsid w:val="00D1777E"/>
    <w:rsid w:val="00D63CD3"/>
    <w:rsid w:val="00DB034C"/>
    <w:rsid w:val="00DE660A"/>
    <w:rsid w:val="00E00CA8"/>
    <w:rsid w:val="00E43145"/>
    <w:rsid w:val="00EB6678"/>
    <w:rsid w:val="00EF333D"/>
    <w:rsid w:val="00F05C01"/>
    <w:rsid w:val="00F069C3"/>
    <w:rsid w:val="00F06C5E"/>
    <w:rsid w:val="00F20443"/>
    <w:rsid w:val="00F4349D"/>
    <w:rsid w:val="00F63191"/>
    <w:rsid w:val="00F64CD1"/>
    <w:rsid w:val="00F9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B03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06B"/>
    <w:pPr>
      <w:spacing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AD7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7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7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aliases w:val="Body"/>
    <w:uiPriority w:val="1"/>
    <w:qFormat/>
    <w:rsid w:val="00AD706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D70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70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D70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D706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70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0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06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AD706B"/>
    <w:pPr>
      <w:spacing w:after="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0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06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191"/>
  </w:style>
  <w:style w:type="paragraph" w:styleId="Footer">
    <w:name w:val="footer"/>
    <w:basedOn w:val="Normal"/>
    <w:link w:val="FooterChar"/>
    <w:uiPriority w:val="99"/>
    <w:unhideWhenUsed/>
    <w:rsid w:val="00F631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191"/>
  </w:style>
  <w:style w:type="character" w:styleId="FollowedHyperlink">
    <w:name w:val="FollowedHyperlink"/>
    <w:basedOn w:val="DefaultParagraphFont"/>
    <w:uiPriority w:val="99"/>
    <w:semiHidden/>
    <w:unhideWhenUsed/>
    <w:rsid w:val="00DB03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079C9F2DB0E6419EBB9BE3C6F3B017" ma:contentTypeVersion="0" ma:contentTypeDescription="Create a new document." ma:contentTypeScope="" ma:versionID="077bd394d213835c910b5b1865298e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5D6FD-25CE-46F7-9761-B0C1AA17F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088224-B44A-4F63-AF86-E03D434C1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A53A44-8ACF-4C6D-B37E-9213359AE073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FCF3551-6232-4D8B-8C15-1B264BE7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Woodard,Jennifer (HHSC)</dc:creator>
  <cp:lastModifiedBy>Noelle</cp:lastModifiedBy>
  <cp:revision>3</cp:revision>
  <dcterms:created xsi:type="dcterms:W3CDTF">2014-09-25T14:40:00Z</dcterms:created>
  <dcterms:modified xsi:type="dcterms:W3CDTF">2014-10-01T20:37:00Z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0x010100A5079C9F2DB0E6419EBB9BE3C6F3B017</vt:lpwstr>
  </property>
</Properties>
</file>