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6B" w:rsidRDefault="00304584" w:rsidP="00AD706B">
      <w:pPr>
        <w:pStyle w:val="Heading1"/>
      </w:pPr>
      <w:r>
        <w:t>IT-5.</w:t>
      </w:r>
      <w:r w:rsidR="00C64153">
        <w:t>1</w:t>
      </w:r>
      <w:r w:rsidR="00C64153">
        <w:t>.</w:t>
      </w:r>
      <w:r>
        <w:t>c</w:t>
      </w:r>
      <w:r w:rsidR="00AD706B">
        <w:t xml:space="preserve">:  </w:t>
      </w:r>
      <w:r w:rsidR="002D19C2">
        <w:t>I</w:t>
      </w:r>
      <w:r w:rsidR="006208D7" w:rsidRPr="006208D7">
        <w:t>mproved Cost Sa</w:t>
      </w:r>
      <w:bookmarkStart w:id="0" w:name="_GoBack"/>
      <w:bookmarkEnd w:id="0"/>
      <w:r w:rsidR="006208D7" w:rsidRPr="006208D7">
        <w:t xml:space="preserve">vings: Demonstrate cost savings in care delivery - </w:t>
      </w:r>
      <w:r w:rsidRPr="00304584">
        <w:t xml:space="preserve">Cost Effectiveness Analysis </w:t>
      </w:r>
      <w:r w:rsidR="00AD706B">
        <w:t>(</w:t>
      </w:r>
      <w:r w:rsidRPr="00304584">
        <w:t>Cost Effectiveness Analysis</w:t>
      </w:r>
      <w:r w:rsidR="00AD706B"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6768"/>
      </w:tblGrid>
      <w:tr w:rsidR="00AD706B" w:rsidTr="00471315">
        <w:trPr>
          <w:tblHeader/>
        </w:trPr>
        <w:tc>
          <w:tcPr>
            <w:tcW w:w="2808" w:type="dxa"/>
            <w:shd w:val="clear" w:color="auto" w:fill="F2F2F2" w:themeFill="background1" w:themeFillShade="F2"/>
          </w:tcPr>
          <w:p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6768" w:type="dxa"/>
            <w:shd w:val="clear" w:color="auto" w:fill="F2F2F2" w:themeFill="background1" w:themeFillShade="F2"/>
          </w:tcPr>
          <w:p w:rsidR="00AD706B" w:rsidRPr="00471315" w:rsidRDefault="004540B7" w:rsidP="00B05CBF">
            <w:pPr>
              <w:pStyle w:val="NoSpacing"/>
              <w:rPr>
                <w:b/>
              </w:rPr>
            </w:pPr>
            <w:r w:rsidRPr="00471315">
              <w:rPr>
                <w:b/>
              </w:rPr>
              <w:t xml:space="preserve">IT-5.1.c </w:t>
            </w:r>
            <w:r w:rsidR="00304584" w:rsidRPr="00471315">
              <w:rPr>
                <w:b/>
              </w:rPr>
              <w:t>Improved Cost Savings: Demonstrate cost savings in care delivery - Cost Effectiveness Analysis</w:t>
            </w:r>
          </w:p>
        </w:tc>
      </w:tr>
      <w:tr w:rsidR="00AD706B" w:rsidTr="00471315">
        <w:tc>
          <w:tcPr>
            <w:tcW w:w="2808" w:type="dxa"/>
          </w:tcPr>
          <w:p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6768" w:type="dxa"/>
          </w:tcPr>
          <w:p w:rsidR="00AD706B" w:rsidRDefault="00304584" w:rsidP="00B05CBF">
            <w:pPr>
              <w:pStyle w:val="NoSpacing"/>
            </w:pPr>
            <w:r w:rsidRPr="00304584">
              <w:t>CEA is a systematic analysis of the effects and costs of alternative methods or programs (interventions) for achieving the same objective (e.g. saving lives, preventing disease, or providing services)</w:t>
            </w:r>
          </w:p>
        </w:tc>
      </w:tr>
      <w:tr w:rsidR="00AD706B" w:rsidTr="00471315">
        <w:tc>
          <w:tcPr>
            <w:tcW w:w="2808" w:type="dxa"/>
          </w:tcPr>
          <w:p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6768" w:type="dxa"/>
          </w:tcPr>
          <w:p w:rsidR="00AD706B" w:rsidRDefault="00100A2F" w:rsidP="006208D7">
            <w:pPr>
              <w:pStyle w:val="NoSpacing"/>
            </w:pPr>
            <w:r>
              <w:t>Not applicable</w:t>
            </w:r>
          </w:p>
        </w:tc>
      </w:tr>
      <w:tr w:rsidR="00AD706B" w:rsidTr="00471315">
        <w:tc>
          <w:tcPr>
            <w:tcW w:w="2808" w:type="dxa"/>
          </w:tcPr>
          <w:p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6768" w:type="dxa"/>
          </w:tcPr>
          <w:p w:rsidR="00AD706B" w:rsidRPr="00631E85" w:rsidRDefault="006208D7" w:rsidP="00A374B8">
            <w:pPr>
              <w:pStyle w:val="NoSpacing"/>
            </w:pPr>
            <w:r w:rsidRPr="006208D7">
              <w:t>National Institutes of Health (NIH); Centers for Disease Control and Prevention (CDC)</w:t>
            </w:r>
          </w:p>
        </w:tc>
      </w:tr>
      <w:tr w:rsidR="00AD706B" w:rsidTr="00471315">
        <w:tc>
          <w:tcPr>
            <w:tcW w:w="2808" w:type="dxa"/>
          </w:tcPr>
          <w:p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6768" w:type="dxa"/>
          </w:tcPr>
          <w:p w:rsidR="00AD706B" w:rsidRPr="00631E85" w:rsidRDefault="00E16D89" w:rsidP="006208D7">
            <w:pPr>
              <w:pStyle w:val="NoSpacing"/>
            </w:pPr>
            <w:r w:rsidRPr="00E16D89">
              <w:t>http://www.nlm.nih.gov/nichsr/hta101/ta10107.html</w:t>
            </w:r>
          </w:p>
        </w:tc>
      </w:tr>
      <w:tr w:rsidR="00AD706B" w:rsidTr="00471315">
        <w:tc>
          <w:tcPr>
            <w:tcW w:w="2808" w:type="dxa"/>
          </w:tcPr>
          <w:p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6768" w:type="dxa"/>
          </w:tcPr>
          <w:p w:rsidR="006208D7" w:rsidRDefault="006208D7" w:rsidP="00AD706B">
            <w:pPr>
              <w:pStyle w:val="NoSpacing"/>
            </w:pPr>
            <w:r>
              <w:t>SA for project area 2.5</w:t>
            </w:r>
          </w:p>
          <w:p w:rsidR="00AD706B" w:rsidRDefault="006208D7" w:rsidP="00AD706B">
            <w:pPr>
              <w:pStyle w:val="NoSpacing"/>
            </w:pPr>
            <w:r w:rsidRPr="006208D7">
              <w:t>NSA for all other project areas</w:t>
            </w:r>
          </w:p>
        </w:tc>
      </w:tr>
      <w:tr w:rsidR="004540B7" w:rsidTr="00471315">
        <w:tc>
          <w:tcPr>
            <w:tcW w:w="2808" w:type="dxa"/>
          </w:tcPr>
          <w:p w:rsidR="004540B7" w:rsidRDefault="004540B7" w:rsidP="00A374B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Performance and Achievement Type </w:t>
            </w:r>
          </w:p>
        </w:tc>
        <w:tc>
          <w:tcPr>
            <w:tcW w:w="6768" w:type="dxa"/>
          </w:tcPr>
          <w:p w:rsidR="004540B7" w:rsidRDefault="004540B7" w:rsidP="00B410EB">
            <w:pPr>
              <w:pStyle w:val="NoSpacing"/>
            </w:pPr>
            <w:r>
              <w:t>Pay for Performance (P4P) – Improvement Over Self (IOS): Prior Authorization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09"/>
              <w:gridCol w:w="2209"/>
              <w:gridCol w:w="2209"/>
            </w:tblGrid>
            <w:tr w:rsidR="004540B7" w:rsidRPr="008331B0" w:rsidTr="00B410EB">
              <w:tc>
                <w:tcPr>
                  <w:tcW w:w="2209" w:type="dxa"/>
                </w:tcPr>
                <w:p w:rsidR="004540B7" w:rsidRPr="008331B0" w:rsidRDefault="004540B7" w:rsidP="00B410EB">
                  <w:pPr>
                    <w:pStyle w:val="NoSpacing"/>
                  </w:pPr>
                </w:p>
              </w:tc>
              <w:tc>
                <w:tcPr>
                  <w:tcW w:w="2209" w:type="dxa"/>
                </w:tcPr>
                <w:p w:rsidR="004540B7" w:rsidRPr="008331B0" w:rsidRDefault="004540B7" w:rsidP="00B410EB">
                  <w:pPr>
                    <w:pStyle w:val="NoSpacing"/>
                    <w:jc w:val="center"/>
                  </w:pPr>
                  <w:r w:rsidRPr="008331B0">
                    <w:t>DY4</w:t>
                  </w:r>
                </w:p>
                <w:p w:rsidR="004540B7" w:rsidRPr="008331B0" w:rsidRDefault="004540B7" w:rsidP="00B410EB">
                  <w:pPr>
                    <w:pStyle w:val="NoSpacing"/>
                    <w:jc w:val="center"/>
                  </w:pPr>
                </w:p>
              </w:tc>
              <w:tc>
                <w:tcPr>
                  <w:tcW w:w="2209" w:type="dxa"/>
                </w:tcPr>
                <w:p w:rsidR="004540B7" w:rsidRPr="008331B0" w:rsidRDefault="004540B7" w:rsidP="00B410EB">
                  <w:pPr>
                    <w:pStyle w:val="NoSpacing"/>
                    <w:jc w:val="center"/>
                  </w:pPr>
                  <w:r w:rsidRPr="008331B0">
                    <w:t>DY5</w:t>
                  </w:r>
                </w:p>
                <w:p w:rsidR="004540B7" w:rsidRPr="008331B0" w:rsidRDefault="004540B7" w:rsidP="00B410EB">
                  <w:pPr>
                    <w:pStyle w:val="NoSpacing"/>
                    <w:jc w:val="center"/>
                  </w:pPr>
                </w:p>
              </w:tc>
            </w:tr>
            <w:tr w:rsidR="004540B7" w:rsidRPr="008331B0" w:rsidTr="00B410EB">
              <w:tc>
                <w:tcPr>
                  <w:tcW w:w="2209" w:type="dxa"/>
                </w:tcPr>
                <w:p w:rsidR="004540B7" w:rsidRPr="008331B0" w:rsidRDefault="004540B7" w:rsidP="00B410EB">
                  <w:pPr>
                    <w:pStyle w:val="NoSpacing"/>
                    <w:jc w:val="center"/>
                  </w:pPr>
                  <w:r>
                    <w:t>Achievement Level Calculation</w:t>
                  </w:r>
                </w:p>
              </w:tc>
              <w:tc>
                <w:tcPr>
                  <w:tcW w:w="2209" w:type="dxa"/>
                </w:tcPr>
                <w:p w:rsidR="004540B7" w:rsidRDefault="004540B7" w:rsidP="00B410EB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5% *(performance gap)</w:t>
                  </w:r>
                </w:p>
                <w:p w:rsidR="004540B7" w:rsidRDefault="004540B7" w:rsidP="00B410EB">
                  <w:pPr>
                    <w:pStyle w:val="NoSpacing"/>
                    <w:jc w:val="center"/>
                  </w:pPr>
                  <w:r w:rsidRPr="00EA4A39">
                    <w:t>=</w:t>
                  </w:r>
                </w:p>
                <w:p w:rsidR="004540B7" w:rsidRPr="008331B0" w:rsidRDefault="004540B7" w:rsidP="00B410EB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5% *(</w:t>
                  </w:r>
                  <w:r>
                    <w:t>0</w:t>
                  </w:r>
                  <w:r w:rsidRPr="00EA4A39">
                    <w:t xml:space="preserve">% – </w:t>
                  </w:r>
                  <w:r>
                    <w:t>B</w:t>
                  </w:r>
                  <w:r w:rsidRPr="00EA4A39">
                    <w:t>aseline rate)</w:t>
                  </w:r>
                </w:p>
              </w:tc>
              <w:tc>
                <w:tcPr>
                  <w:tcW w:w="2209" w:type="dxa"/>
                </w:tcPr>
                <w:p w:rsidR="004540B7" w:rsidRDefault="004540B7" w:rsidP="00B410EB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</w:t>
                  </w:r>
                  <w:r>
                    <w:t>10</w:t>
                  </w:r>
                  <w:r w:rsidRPr="00EA4A39">
                    <w:t>% *(performance gap)</w:t>
                  </w:r>
                </w:p>
                <w:p w:rsidR="004540B7" w:rsidRDefault="004540B7" w:rsidP="00B410EB">
                  <w:pPr>
                    <w:pStyle w:val="NoSpacing"/>
                    <w:jc w:val="center"/>
                  </w:pPr>
                  <w:r w:rsidRPr="00EA4A39">
                    <w:t>=</w:t>
                  </w:r>
                </w:p>
                <w:p w:rsidR="004540B7" w:rsidRPr="008331B0" w:rsidRDefault="004540B7" w:rsidP="00B410EB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</w:t>
                  </w:r>
                  <w:r>
                    <w:t>10% *(</w:t>
                  </w:r>
                  <w:r w:rsidRPr="00EA4A39">
                    <w:t xml:space="preserve">0% – </w:t>
                  </w:r>
                  <w:r>
                    <w:t>B</w:t>
                  </w:r>
                  <w:r w:rsidRPr="00EA4A39">
                    <w:t>aseline rate)</w:t>
                  </w:r>
                </w:p>
              </w:tc>
            </w:tr>
          </w:tbl>
          <w:p w:rsidR="004540B7" w:rsidRDefault="004540B7" w:rsidP="002D19C2">
            <w:pPr>
              <w:pStyle w:val="NoSpacing"/>
            </w:pPr>
          </w:p>
        </w:tc>
      </w:tr>
      <w:tr w:rsidR="00AD706B" w:rsidTr="00471315">
        <w:tc>
          <w:tcPr>
            <w:tcW w:w="2808" w:type="dxa"/>
          </w:tcPr>
          <w:p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6768" w:type="dxa"/>
          </w:tcPr>
          <w:p w:rsidR="00AD706B" w:rsidRDefault="006208D7" w:rsidP="00B05CBF">
            <w:pPr>
              <w:pStyle w:val="NoSpacing"/>
            </w:pPr>
            <w:r>
              <w:t>None</w:t>
            </w:r>
          </w:p>
        </w:tc>
      </w:tr>
      <w:tr w:rsidR="00AD706B" w:rsidTr="00471315">
        <w:tc>
          <w:tcPr>
            <w:tcW w:w="2808" w:type="dxa"/>
          </w:tcPr>
          <w:p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6768" w:type="dxa"/>
          </w:tcPr>
          <w:p w:rsidR="00E16D89" w:rsidRPr="00313C4E" w:rsidRDefault="00E16D89" w:rsidP="00E16D89">
            <w:pPr>
              <w:pStyle w:val="NoSpacing"/>
            </w:pPr>
            <w:proofErr w:type="spellStart"/>
            <w:r w:rsidRPr="00313C4E">
              <w:t>Effect</w:t>
            </w:r>
            <w:r w:rsidRPr="00313C4E">
              <w:rPr>
                <w:vertAlign w:val="subscript"/>
              </w:rPr>
              <w:t>Int</w:t>
            </w:r>
            <w:proofErr w:type="spellEnd"/>
            <w:r w:rsidRPr="00313C4E">
              <w:t xml:space="preserve"> - </w:t>
            </w:r>
            <w:proofErr w:type="spellStart"/>
            <w:r w:rsidRPr="00313C4E">
              <w:t>Effect</w:t>
            </w:r>
            <w:r w:rsidRPr="00313C4E">
              <w:rPr>
                <w:vertAlign w:val="subscript"/>
              </w:rPr>
              <w:t>Comp</w:t>
            </w:r>
            <w:proofErr w:type="spellEnd"/>
          </w:p>
          <w:p w:rsidR="00AD706B" w:rsidRPr="009F7E66" w:rsidRDefault="00E16D89" w:rsidP="004540B7">
            <w:pPr>
              <w:pStyle w:val="NoSpacing"/>
            </w:pPr>
            <w:r w:rsidRPr="00313C4E">
              <w:t xml:space="preserve">Abbreviations: </w:t>
            </w:r>
            <w:proofErr w:type="spellStart"/>
            <w:r w:rsidRPr="00313C4E">
              <w:t>Int</w:t>
            </w:r>
            <w:proofErr w:type="spellEnd"/>
            <w:r w:rsidRPr="00313C4E">
              <w:t>: Intervention; Comp: Comparator</w:t>
            </w:r>
          </w:p>
        </w:tc>
      </w:tr>
      <w:tr w:rsidR="00B05CBF" w:rsidTr="00471315">
        <w:trPr>
          <w:trHeight w:val="296"/>
        </w:trPr>
        <w:tc>
          <w:tcPr>
            <w:tcW w:w="2808" w:type="dxa"/>
          </w:tcPr>
          <w:p w:rsidR="00B05CBF" w:rsidRPr="00717546" w:rsidRDefault="00B05CBF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6768" w:type="dxa"/>
          </w:tcPr>
          <w:p w:rsidR="00B05CBF" w:rsidRPr="0012650D" w:rsidRDefault="006B0DE1" w:rsidP="004540B7">
            <w:pPr>
              <w:pStyle w:val="NoSpacing"/>
              <w:rPr>
                <w:b/>
              </w:rPr>
            </w:pPr>
            <w:r w:rsidRPr="006B0DE1">
              <w:t>None</w:t>
            </w:r>
          </w:p>
        </w:tc>
      </w:tr>
      <w:tr w:rsidR="00B05CBF" w:rsidTr="00471315">
        <w:trPr>
          <w:trHeight w:val="368"/>
        </w:trPr>
        <w:tc>
          <w:tcPr>
            <w:tcW w:w="2808" w:type="dxa"/>
          </w:tcPr>
          <w:p w:rsidR="00B05CBF" w:rsidRPr="00717546" w:rsidRDefault="00B05CBF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6768" w:type="dxa"/>
          </w:tcPr>
          <w:p w:rsidR="00B05CBF" w:rsidRPr="001D6BEA" w:rsidRDefault="006B0DE1" w:rsidP="00A374B8">
            <w:pPr>
              <w:pStyle w:val="NoSpacing"/>
            </w:pPr>
            <w:r w:rsidRPr="006B0DE1">
              <w:t>None</w:t>
            </w:r>
          </w:p>
        </w:tc>
      </w:tr>
      <w:tr w:rsidR="00D63CD3" w:rsidTr="00471315">
        <w:tc>
          <w:tcPr>
            <w:tcW w:w="2808" w:type="dxa"/>
          </w:tcPr>
          <w:p w:rsidR="00D63CD3" w:rsidRDefault="00D63CD3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6768" w:type="dxa"/>
          </w:tcPr>
          <w:p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>denominator size is less than or equal to 75, providers must report on all cases. No sampling is allowed.</w:t>
            </w:r>
          </w:p>
          <w:p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:rsidR="0032246B" w:rsidRPr="001D6BEA" w:rsidRDefault="0032246B" w:rsidP="002D19C2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>(either 6 or 12-months) where the denominator size</w:t>
            </w:r>
            <w:r>
              <w:t xml:space="preserve"> is greater than </w:t>
            </w:r>
            <w:r w:rsidR="002D19C2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health record) or </w:t>
            </w:r>
            <w:r>
              <w:t xml:space="preserve">a random sample of cases that is not less than </w:t>
            </w:r>
            <w:r>
              <w:lastRenderedPageBreak/>
              <w:t xml:space="preserve">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 w:rsidTr="00471315">
        <w:tc>
          <w:tcPr>
            <w:tcW w:w="2808" w:type="dxa"/>
          </w:tcPr>
          <w:p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Numerator Description </w:t>
            </w:r>
          </w:p>
        </w:tc>
        <w:tc>
          <w:tcPr>
            <w:tcW w:w="6768" w:type="dxa"/>
          </w:tcPr>
          <w:p w:rsidR="00E16D89" w:rsidRPr="009F7E66" w:rsidRDefault="00E16D89" w:rsidP="00E16D89">
            <w:pPr>
              <w:pStyle w:val="NoSpacing"/>
            </w:pPr>
            <w:r w:rsidRPr="00304584">
              <w:t>$</w:t>
            </w:r>
            <w:proofErr w:type="spellStart"/>
            <w:r w:rsidRPr="00304584">
              <w:t>Cost</w:t>
            </w:r>
            <w:r w:rsidRPr="00304584">
              <w:rPr>
                <w:vertAlign w:val="subscript"/>
              </w:rPr>
              <w:t>Int</w:t>
            </w:r>
            <w:proofErr w:type="spellEnd"/>
            <w:r w:rsidRPr="00304584">
              <w:t xml:space="preserve"> - $</w:t>
            </w:r>
            <w:proofErr w:type="spellStart"/>
            <w:r w:rsidRPr="00304584">
              <w:t>Cost</w:t>
            </w:r>
            <w:r w:rsidRPr="00304584">
              <w:rPr>
                <w:vertAlign w:val="subscript"/>
              </w:rPr>
              <w:t>Comp</w:t>
            </w:r>
            <w:proofErr w:type="spellEnd"/>
            <w:r>
              <w:t xml:space="preserve"> </w:t>
            </w:r>
          </w:p>
          <w:p w:rsidR="00304584" w:rsidRPr="009F7E66" w:rsidRDefault="00304584" w:rsidP="00304584">
            <w:pPr>
              <w:pStyle w:val="NoSpacing"/>
            </w:pPr>
            <w:r w:rsidRPr="00304584">
              <w:t xml:space="preserve">Abbreviations: </w:t>
            </w:r>
            <w:proofErr w:type="spellStart"/>
            <w:r w:rsidRPr="00304584">
              <w:t>Int</w:t>
            </w:r>
            <w:proofErr w:type="spellEnd"/>
            <w:r w:rsidRPr="00304584">
              <w:t>: Intervention; Comp: Comparator</w:t>
            </w:r>
          </w:p>
        </w:tc>
      </w:tr>
      <w:tr w:rsidR="00AC3A97" w:rsidTr="00471315">
        <w:tc>
          <w:tcPr>
            <w:tcW w:w="2808" w:type="dxa"/>
          </w:tcPr>
          <w:p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Inclusions</w:t>
            </w:r>
          </w:p>
        </w:tc>
        <w:tc>
          <w:tcPr>
            <w:tcW w:w="6768" w:type="dxa"/>
          </w:tcPr>
          <w:p w:rsidR="00AC3A97" w:rsidRDefault="006B0DE1" w:rsidP="006B0DE1">
            <w:pPr>
              <w:pStyle w:val="NoSpacing"/>
            </w:pPr>
            <w:r w:rsidRPr="006B0DE1">
              <w:rPr>
                <w:i/>
              </w:rPr>
              <w:t xml:space="preserve">Where </w:t>
            </w:r>
            <w:r w:rsidRPr="006B0DE1">
              <w:t>Cost = Direct Cost + Pharmacy Cost + Facility Cost</w:t>
            </w:r>
          </w:p>
          <w:p w:rsidR="004540B7" w:rsidRPr="0012650D" w:rsidRDefault="004540B7" w:rsidP="006B0DE1">
            <w:pPr>
              <w:pStyle w:val="NoSpacing"/>
              <w:rPr>
                <w:b/>
              </w:rPr>
            </w:pPr>
            <w:r>
              <w:t>Note: All costs of care associated with a particular intervention must be included</w:t>
            </w:r>
          </w:p>
        </w:tc>
      </w:tr>
      <w:tr w:rsidR="00AC3A97" w:rsidTr="00471315">
        <w:tc>
          <w:tcPr>
            <w:tcW w:w="2808" w:type="dxa"/>
          </w:tcPr>
          <w:p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Exclusions</w:t>
            </w:r>
          </w:p>
        </w:tc>
        <w:tc>
          <w:tcPr>
            <w:tcW w:w="6768" w:type="dxa"/>
          </w:tcPr>
          <w:p w:rsidR="00AC3A97" w:rsidRPr="001D6BEA" w:rsidRDefault="006B0DE1" w:rsidP="00AF103E">
            <w:pPr>
              <w:pStyle w:val="NoSpacing"/>
            </w:pPr>
            <w:r>
              <w:t>None</w:t>
            </w:r>
          </w:p>
        </w:tc>
      </w:tr>
      <w:tr w:rsidR="00AD706B" w:rsidTr="00471315">
        <w:tc>
          <w:tcPr>
            <w:tcW w:w="2808" w:type="dxa"/>
          </w:tcPr>
          <w:p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6768" w:type="dxa"/>
          </w:tcPr>
          <w:p w:rsidR="00AD706B" w:rsidRDefault="00CD7069" w:rsidP="00CD7069">
            <w:pPr>
              <w:pStyle w:val="NoSpacing"/>
            </w:pPr>
            <w:r>
              <w:t>Multiple</w:t>
            </w:r>
          </w:p>
        </w:tc>
      </w:tr>
      <w:tr w:rsidR="00AD706B" w:rsidTr="00471315">
        <w:tc>
          <w:tcPr>
            <w:tcW w:w="2808" w:type="dxa"/>
          </w:tcPr>
          <w:p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6768" w:type="dxa"/>
          </w:tcPr>
          <w:p w:rsidR="00AD706B" w:rsidRDefault="00CD074D" w:rsidP="006B0DE1">
            <w:pPr>
              <w:pStyle w:val="NoSpacing"/>
            </w:pPr>
            <w:r>
              <w:t>Administrative and Clinical Data</w:t>
            </w:r>
            <w:r w:rsidR="00E16D89">
              <w:t xml:space="preserve"> including EMR (EHR)</w:t>
            </w:r>
          </w:p>
        </w:tc>
      </w:tr>
      <w:tr w:rsidR="00055A7E" w:rsidTr="00471315">
        <w:tc>
          <w:tcPr>
            <w:tcW w:w="2808" w:type="dxa"/>
          </w:tcPr>
          <w:p w:rsidR="00055A7E" w:rsidRPr="00717546" w:rsidRDefault="00055A7E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6768" w:type="dxa"/>
          </w:tcPr>
          <w:p w:rsidR="00055A7E" w:rsidRDefault="00055A7E" w:rsidP="00B410EB">
            <w:pPr>
              <w:pStyle w:val="NoSpacing"/>
            </w:pPr>
            <w:r>
              <w:t>All denominator subsets are permissible for this outcome</w:t>
            </w:r>
          </w:p>
          <w:p w:rsidR="00055A7E" w:rsidRDefault="00055A7E" w:rsidP="007F7C07">
            <w:pPr>
              <w:pStyle w:val="NoSpacing"/>
            </w:pPr>
            <w:r>
              <w:t> </w:t>
            </w:r>
          </w:p>
        </w:tc>
      </w:tr>
    </w:tbl>
    <w:p w:rsidR="00356CF4" w:rsidRPr="008F249E" w:rsidRDefault="00356CF4" w:rsidP="007C7C85">
      <w:pPr>
        <w:pStyle w:val="Heading2"/>
      </w:pPr>
    </w:p>
    <w:sectPr w:rsidR="00356CF4" w:rsidRPr="008F249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B8D" w:rsidRDefault="00346B8D" w:rsidP="00F63191">
      <w:pPr>
        <w:spacing w:after="0" w:line="240" w:lineRule="auto"/>
      </w:pPr>
      <w:r>
        <w:separator/>
      </w:r>
    </w:p>
  </w:endnote>
  <w:endnote w:type="continuationSeparator" w:id="0">
    <w:p w:rsidR="00346B8D" w:rsidRDefault="00346B8D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0B" w:rsidRDefault="0071230B">
    <w:pPr>
      <w:pStyle w:val="Footer"/>
    </w:pPr>
    <w:r>
      <w:t>09/25/14</w:t>
    </w:r>
  </w:p>
  <w:p w:rsidR="0048502F" w:rsidRDefault="004850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B8D" w:rsidRDefault="00346B8D" w:rsidP="00F63191">
      <w:pPr>
        <w:spacing w:after="0" w:line="240" w:lineRule="auto"/>
      </w:pPr>
      <w:r>
        <w:separator/>
      </w:r>
    </w:p>
  </w:footnote>
  <w:footnote w:type="continuationSeparator" w:id="0">
    <w:p w:rsidR="00346B8D" w:rsidRDefault="00346B8D" w:rsidP="00F63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F61DA"/>
    <w:multiLevelType w:val="hybridMultilevel"/>
    <w:tmpl w:val="481E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52A4F"/>
    <w:multiLevelType w:val="multilevel"/>
    <w:tmpl w:val="A0F6965C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cs="Times New Roman" w:hint="default"/>
      </w:rPr>
    </w:lvl>
  </w:abstractNum>
  <w:abstractNum w:abstractNumId="11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10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55A7E"/>
    <w:rsid w:val="000D1199"/>
    <w:rsid w:val="000D5A2D"/>
    <w:rsid w:val="000E7EED"/>
    <w:rsid w:val="00100A2F"/>
    <w:rsid w:val="00107C1A"/>
    <w:rsid w:val="0011709A"/>
    <w:rsid w:val="00154A00"/>
    <w:rsid w:val="00165D76"/>
    <w:rsid w:val="001D6BEA"/>
    <w:rsid w:val="002224F0"/>
    <w:rsid w:val="00245754"/>
    <w:rsid w:val="00271E53"/>
    <w:rsid w:val="002845C2"/>
    <w:rsid w:val="002D19C2"/>
    <w:rsid w:val="00304584"/>
    <w:rsid w:val="0032246B"/>
    <w:rsid w:val="00346B8D"/>
    <w:rsid w:val="00356CF4"/>
    <w:rsid w:val="00366D0B"/>
    <w:rsid w:val="00375652"/>
    <w:rsid w:val="00383516"/>
    <w:rsid w:val="003844DB"/>
    <w:rsid w:val="003A409E"/>
    <w:rsid w:val="003F116C"/>
    <w:rsid w:val="003F4E8D"/>
    <w:rsid w:val="00416E44"/>
    <w:rsid w:val="004540B7"/>
    <w:rsid w:val="00471315"/>
    <w:rsid w:val="0048502F"/>
    <w:rsid w:val="00502BE4"/>
    <w:rsid w:val="00506BC5"/>
    <w:rsid w:val="00536799"/>
    <w:rsid w:val="005802A0"/>
    <w:rsid w:val="005857E6"/>
    <w:rsid w:val="005B79DD"/>
    <w:rsid w:val="005C70A1"/>
    <w:rsid w:val="005F4D43"/>
    <w:rsid w:val="006208D7"/>
    <w:rsid w:val="006B0DE1"/>
    <w:rsid w:val="0071230B"/>
    <w:rsid w:val="00743628"/>
    <w:rsid w:val="00760D27"/>
    <w:rsid w:val="007C728B"/>
    <w:rsid w:val="007C7C85"/>
    <w:rsid w:val="007E0395"/>
    <w:rsid w:val="007F675B"/>
    <w:rsid w:val="007F7C07"/>
    <w:rsid w:val="00823868"/>
    <w:rsid w:val="00827557"/>
    <w:rsid w:val="0088642E"/>
    <w:rsid w:val="00886E0E"/>
    <w:rsid w:val="008A5405"/>
    <w:rsid w:val="008D1A8E"/>
    <w:rsid w:val="008F249E"/>
    <w:rsid w:val="00965A2A"/>
    <w:rsid w:val="00967948"/>
    <w:rsid w:val="00994A41"/>
    <w:rsid w:val="00996DD5"/>
    <w:rsid w:val="009C6EA3"/>
    <w:rsid w:val="009F7E66"/>
    <w:rsid w:val="00A11BD9"/>
    <w:rsid w:val="00A17710"/>
    <w:rsid w:val="00A82574"/>
    <w:rsid w:val="00AC3A97"/>
    <w:rsid w:val="00AD706B"/>
    <w:rsid w:val="00B05CBF"/>
    <w:rsid w:val="00B20462"/>
    <w:rsid w:val="00B546CF"/>
    <w:rsid w:val="00B65D92"/>
    <w:rsid w:val="00BA61F1"/>
    <w:rsid w:val="00BC4643"/>
    <w:rsid w:val="00C01E6F"/>
    <w:rsid w:val="00C64153"/>
    <w:rsid w:val="00C86C48"/>
    <w:rsid w:val="00C9758A"/>
    <w:rsid w:val="00CA2D3E"/>
    <w:rsid w:val="00CA4C08"/>
    <w:rsid w:val="00CC28BC"/>
    <w:rsid w:val="00CD074D"/>
    <w:rsid w:val="00CD7069"/>
    <w:rsid w:val="00D1777E"/>
    <w:rsid w:val="00D63CD3"/>
    <w:rsid w:val="00DE3E57"/>
    <w:rsid w:val="00DE660A"/>
    <w:rsid w:val="00E16D89"/>
    <w:rsid w:val="00E43145"/>
    <w:rsid w:val="00EB6678"/>
    <w:rsid w:val="00EF333D"/>
    <w:rsid w:val="00F05C01"/>
    <w:rsid w:val="00F069C3"/>
    <w:rsid w:val="00F06C5E"/>
    <w:rsid w:val="00F20443"/>
    <w:rsid w:val="00F63191"/>
    <w:rsid w:val="00F64CD1"/>
    <w:rsid w:val="00F9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28EC3-DA51-4837-8D1D-266190FD7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CDB4B0-C0E6-40AB-9DAF-D95593957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FF435-3B32-4206-BCD4-C6E2BA1CBF98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8486D3E-3EEC-4043-B1D1-F9E02305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Noelle</cp:lastModifiedBy>
  <cp:revision>4</cp:revision>
  <dcterms:created xsi:type="dcterms:W3CDTF">2014-09-25T14:23:00Z</dcterms:created>
  <dcterms:modified xsi:type="dcterms:W3CDTF">2014-10-01T20:36:00Z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