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B5F8" w14:textId="77777777" w:rsidR="00AD706B" w:rsidRDefault="00AE01E9" w:rsidP="00AD706B">
      <w:pPr>
        <w:pStyle w:val="Heading1"/>
      </w:pPr>
      <w:r>
        <w:t>I</w:t>
      </w:r>
      <w:r w:rsidR="005D3267">
        <w:t>T-</w:t>
      </w:r>
      <w:r w:rsidR="004C3E9B">
        <w:t>4.8</w:t>
      </w:r>
      <w:r w:rsidR="00EB7647" w:rsidRPr="00EB7647">
        <w:t xml:space="preserve">:  </w:t>
      </w:r>
      <w:r w:rsidR="008C4778">
        <w:t>Sepsis Mortality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40B2B5FB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40B2B5F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40B2B5FA" w14:textId="33A872D3" w:rsidR="00AD706B" w:rsidRPr="008779F5" w:rsidRDefault="00F203D0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IT-4.8 </w:t>
            </w:r>
            <w:r w:rsidR="004C3E9B">
              <w:rPr>
                <w:b/>
              </w:rPr>
              <w:t>Sepsis</w:t>
            </w:r>
            <w:r w:rsidR="004C3E9B" w:rsidRPr="008C5E04">
              <w:rPr>
                <w:b/>
              </w:rPr>
              <w:t xml:space="preserve"> </w:t>
            </w:r>
            <w:r w:rsidR="008C5E04" w:rsidRPr="008C5E04">
              <w:rPr>
                <w:b/>
              </w:rPr>
              <w:t>Mortality Rate</w:t>
            </w:r>
          </w:p>
        </w:tc>
      </w:tr>
      <w:tr w:rsidR="00AD706B" w14:paraId="40B2B5FE" w14:textId="77777777" w:rsidTr="00A374B8">
        <w:tc>
          <w:tcPr>
            <w:tcW w:w="2718" w:type="dxa"/>
          </w:tcPr>
          <w:p w14:paraId="40B2B5F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40B2B5FD" w14:textId="7759FC59" w:rsidR="005D0DD4" w:rsidRPr="00651532" w:rsidRDefault="00F50BA4" w:rsidP="004C3E9B">
            <w:pPr>
              <w:pStyle w:val="NoSpacing"/>
            </w:pPr>
            <w:r w:rsidRPr="00F50BA4">
              <w:t xml:space="preserve">In-hospital deaths per 1,000 hospital discharges with </w:t>
            </w:r>
            <w:r w:rsidR="004C3E9B">
              <w:t>Sepsis or septic shock</w:t>
            </w:r>
            <w:r w:rsidR="004C3E9B" w:rsidRPr="00F50BA4">
              <w:t xml:space="preserve"> </w:t>
            </w:r>
            <w:r w:rsidRPr="00F50BA4">
              <w:t>as a principal diagnosis for patients ages 18 years and older. Excludes obstetric discharges and transfers to another hospital.</w:t>
            </w:r>
          </w:p>
        </w:tc>
      </w:tr>
      <w:tr w:rsidR="00AD706B" w14:paraId="40B2B601" w14:textId="77777777" w:rsidTr="00A374B8">
        <w:tc>
          <w:tcPr>
            <w:tcW w:w="2718" w:type="dxa"/>
          </w:tcPr>
          <w:p w14:paraId="40B2B5F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40B2B600" w14:textId="77777777" w:rsidR="00AD706B" w:rsidRDefault="008C4778" w:rsidP="00713FD3">
            <w:pPr>
              <w:pStyle w:val="NoSpacing"/>
            </w:pPr>
            <w:r>
              <w:t>231</w:t>
            </w:r>
          </w:p>
        </w:tc>
      </w:tr>
      <w:tr w:rsidR="00AD706B" w14:paraId="40B2B604" w14:textId="77777777" w:rsidTr="003438C3">
        <w:trPr>
          <w:trHeight w:val="197"/>
        </w:trPr>
        <w:tc>
          <w:tcPr>
            <w:tcW w:w="2718" w:type="dxa"/>
          </w:tcPr>
          <w:p w14:paraId="40B2B602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40B2B603" w14:textId="77777777" w:rsidR="00AD706B" w:rsidRPr="00631E85" w:rsidRDefault="008C5E04" w:rsidP="00031069">
            <w:pPr>
              <w:pStyle w:val="NoSpacing"/>
            </w:pPr>
            <w:r w:rsidRPr="008C5E04">
              <w:t>Agency for Healthcare Research and Quality</w:t>
            </w:r>
          </w:p>
        </w:tc>
      </w:tr>
      <w:tr w:rsidR="00AD706B" w14:paraId="40B2B607" w14:textId="77777777" w:rsidTr="00A374B8">
        <w:tc>
          <w:tcPr>
            <w:tcW w:w="2718" w:type="dxa"/>
          </w:tcPr>
          <w:p w14:paraId="40B2B605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40B2B606" w14:textId="77777777" w:rsidR="00AD706B" w:rsidRPr="00631E85" w:rsidRDefault="00FE05CB" w:rsidP="00561D6D">
            <w:pPr>
              <w:pStyle w:val="NoSpacing"/>
            </w:pPr>
            <w:hyperlink r:id="rId12" w:history="1">
              <w:r w:rsidR="008C2A4B" w:rsidRPr="001711B2">
                <w:rPr>
                  <w:rStyle w:val="Hyperlink"/>
                </w:rPr>
                <w:t>https://www.qualityforum.org/QPS/0231</w:t>
              </w:r>
            </w:hyperlink>
            <w:r w:rsidR="008C2A4B">
              <w:t xml:space="preserve"> </w:t>
            </w:r>
          </w:p>
        </w:tc>
      </w:tr>
      <w:tr w:rsidR="00AD706B" w14:paraId="40B2B60A" w14:textId="77777777" w:rsidTr="00A374B8">
        <w:tc>
          <w:tcPr>
            <w:tcW w:w="2718" w:type="dxa"/>
          </w:tcPr>
          <w:p w14:paraId="40B2B608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40B2B609" w14:textId="77777777" w:rsidR="00AD706B" w:rsidRDefault="00AD706B" w:rsidP="00AD706B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F203D0" w14:paraId="40B2B60D" w14:textId="77777777" w:rsidTr="00A374B8">
        <w:tc>
          <w:tcPr>
            <w:tcW w:w="2718" w:type="dxa"/>
          </w:tcPr>
          <w:p w14:paraId="40B2B60B" w14:textId="7CFBED66" w:rsidR="00F203D0" w:rsidRDefault="00F203D0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40B2B60C" w14:textId="67CF59DD" w:rsidR="00F203D0" w:rsidRDefault="00F203D0" w:rsidP="00F82949">
            <w:pPr>
              <w:pStyle w:val="NoSpacing"/>
            </w:pPr>
            <w:r>
              <w:t>Pay-for-Reporting: Prior Authorization</w:t>
            </w:r>
          </w:p>
        </w:tc>
      </w:tr>
      <w:tr w:rsidR="00AD706B" w14:paraId="40B2B610" w14:textId="77777777" w:rsidTr="00A374B8">
        <w:tc>
          <w:tcPr>
            <w:tcW w:w="2718" w:type="dxa"/>
          </w:tcPr>
          <w:p w14:paraId="40B2B60E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0682D009" w14:textId="117404C3" w:rsidR="00CC4A1D" w:rsidRDefault="00CC4A1D" w:rsidP="00CC4A1D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40B2B60F" w14:textId="5232EC46" w:rsidR="009F78A7" w:rsidRDefault="00CC4A1D" w:rsidP="00CC4A1D">
            <w:pPr>
              <w:pStyle w:val="NoSpacing"/>
              <w:numPr>
                <w:ilvl w:val="0"/>
                <w:numId w:val="11"/>
              </w:numPr>
            </w:pPr>
            <w:r w:rsidRPr="00CC4A1D">
              <w:t xml:space="preserve">Replaced </w:t>
            </w:r>
            <w:r w:rsidR="00F82949" w:rsidRPr="00CC4A1D">
              <w:t>pneumonia</w:t>
            </w:r>
            <w:r w:rsidRPr="00CC4A1D">
              <w:t xml:space="preserve"> criteria with Sepsis diagnosis</w:t>
            </w:r>
          </w:p>
        </w:tc>
      </w:tr>
      <w:tr w:rsidR="00AD706B" w14:paraId="40B2B613" w14:textId="77777777" w:rsidTr="00A374B8">
        <w:tc>
          <w:tcPr>
            <w:tcW w:w="2718" w:type="dxa"/>
          </w:tcPr>
          <w:p w14:paraId="40B2B61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40B2B612" w14:textId="069F22B5" w:rsidR="00AD706B" w:rsidRPr="009F7E66" w:rsidRDefault="003F614D" w:rsidP="001D6BEA">
            <w:pPr>
              <w:pStyle w:val="NoSpacing"/>
            </w:pPr>
            <w:r w:rsidRPr="003F614D">
              <w:t xml:space="preserve">Discharges, for patients ages 18 years and older, with a principal ICD-9-CM diagnosis code for </w:t>
            </w:r>
            <w:r w:rsidR="004C3E9B" w:rsidRPr="004C3E9B">
              <w:t>Sepsis or septic shock</w:t>
            </w:r>
            <w:r w:rsidRPr="003F614D">
              <w:t>.</w:t>
            </w:r>
          </w:p>
        </w:tc>
      </w:tr>
      <w:tr w:rsidR="00787D45" w14:paraId="40B2B616" w14:textId="77777777" w:rsidTr="00B05CBF">
        <w:trPr>
          <w:trHeight w:val="728"/>
        </w:trPr>
        <w:tc>
          <w:tcPr>
            <w:tcW w:w="2718" w:type="dxa"/>
          </w:tcPr>
          <w:p w14:paraId="40B2B61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40B2B615" w14:textId="77777777" w:rsidR="00787D45" w:rsidRPr="0012650D" w:rsidRDefault="003F614D" w:rsidP="00651532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40B2B619" w14:textId="77777777" w:rsidTr="00B05CBF">
        <w:trPr>
          <w:trHeight w:val="710"/>
        </w:trPr>
        <w:tc>
          <w:tcPr>
            <w:tcW w:w="2718" w:type="dxa"/>
          </w:tcPr>
          <w:p w14:paraId="40B2B61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40B2B618" w14:textId="77777777" w:rsidR="00787D45" w:rsidRPr="001D6BEA" w:rsidRDefault="003F614D" w:rsidP="00F81588">
            <w:pPr>
              <w:pStyle w:val="NoSpacing"/>
            </w:pPr>
            <w:r w:rsidRPr="003F614D">
              <w:t>Excludes obstetric discharges and transfers to another hospital</w:t>
            </w:r>
            <w:r w:rsidR="008C2A4B">
              <w:t>.</w:t>
            </w:r>
          </w:p>
        </w:tc>
      </w:tr>
      <w:tr w:rsidR="00D63CD3" w14:paraId="40B2B61F" w14:textId="77777777" w:rsidTr="00A374B8">
        <w:tc>
          <w:tcPr>
            <w:tcW w:w="2718" w:type="dxa"/>
          </w:tcPr>
          <w:p w14:paraId="40B2B61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40B2B61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</w:t>
            </w:r>
            <w:bookmarkStart w:id="0" w:name="_GoBack"/>
            <w:r w:rsidR="0011709A">
              <w:t>o</w:t>
            </w:r>
            <w:bookmarkEnd w:id="0"/>
            <w:r w:rsidR="0011709A">
              <w:t>r a 6-month measurement period)</w:t>
            </w:r>
          </w:p>
          <w:p w14:paraId="40B2B61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40B2B61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40B2B61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40B2B622" w14:textId="77777777" w:rsidTr="00A374B8">
        <w:tc>
          <w:tcPr>
            <w:tcW w:w="2718" w:type="dxa"/>
          </w:tcPr>
          <w:p w14:paraId="40B2B62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40B2B621" w14:textId="77777777" w:rsidR="00AC3A97" w:rsidRPr="009F7E66" w:rsidRDefault="003F614D" w:rsidP="00AF103E">
            <w:pPr>
              <w:pStyle w:val="NoSpacing"/>
            </w:pPr>
            <w:r w:rsidRPr="003F614D">
              <w:t>Number of deaths (DISP=20) among cases meeting the inclusion and exclusion rules for the denominator.</w:t>
            </w:r>
          </w:p>
        </w:tc>
      </w:tr>
      <w:tr w:rsidR="00787D45" w14:paraId="40B2B625" w14:textId="77777777" w:rsidTr="00A374B8">
        <w:tc>
          <w:tcPr>
            <w:tcW w:w="2718" w:type="dxa"/>
          </w:tcPr>
          <w:p w14:paraId="40B2B62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40B2B624" w14:textId="77777777" w:rsidR="00787D45" w:rsidRPr="0012650D" w:rsidRDefault="003F614D" w:rsidP="00F81588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</w:t>
            </w:r>
          </w:p>
        </w:tc>
      </w:tr>
      <w:tr w:rsidR="00787D45" w14:paraId="40B2B628" w14:textId="77777777" w:rsidTr="00A374B8">
        <w:tc>
          <w:tcPr>
            <w:tcW w:w="2718" w:type="dxa"/>
          </w:tcPr>
          <w:p w14:paraId="40B2B62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40B2B627" w14:textId="77777777" w:rsidR="00787D45" w:rsidRPr="001D6BEA" w:rsidRDefault="003F614D" w:rsidP="002F15E3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40B2B62B" w14:textId="77777777" w:rsidTr="00A374B8">
        <w:tc>
          <w:tcPr>
            <w:tcW w:w="2718" w:type="dxa"/>
          </w:tcPr>
          <w:p w14:paraId="40B2B62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Setting</w:t>
            </w:r>
          </w:p>
        </w:tc>
        <w:tc>
          <w:tcPr>
            <w:tcW w:w="6858" w:type="dxa"/>
          </w:tcPr>
          <w:p w14:paraId="40B2B62A" w14:textId="77777777" w:rsidR="00AD706B" w:rsidRDefault="00AD706B" w:rsidP="00CD7069">
            <w:pPr>
              <w:pStyle w:val="NoSpacing"/>
            </w:pPr>
            <w:r>
              <w:t>Inpatient</w:t>
            </w:r>
          </w:p>
        </w:tc>
      </w:tr>
      <w:tr w:rsidR="00AD706B" w14:paraId="40B2B62E" w14:textId="77777777" w:rsidTr="00A374B8">
        <w:tc>
          <w:tcPr>
            <w:tcW w:w="2718" w:type="dxa"/>
          </w:tcPr>
          <w:p w14:paraId="40B2B62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40B2B62D" w14:textId="77777777" w:rsidR="00AD706B" w:rsidRDefault="003F614D" w:rsidP="00AF3A3D">
            <w:pPr>
              <w:pStyle w:val="NoSpacing"/>
            </w:pPr>
            <w:r>
              <w:t>Administrative/Clinical data sources</w:t>
            </w:r>
          </w:p>
        </w:tc>
      </w:tr>
      <w:tr w:rsidR="00855505" w14:paraId="40B2B64D" w14:textId="77777777" w:rsidTr="00A374B8">
        <w:tc>
          <w:tcPr>
            <w:tcW w:w="2718" w:type="dxa"/>
          </w:tcPr>
          <w:p w14:paraId="40B2B62F" w14:textId="18B75E36" w:rsidR="00855505" w:rsidRPr="00717546" w:rsidRDefault="0085550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144F01DD" w14:textId="77777777" w:rsidR="00855505" w:rsidRDefault="00855505" w:rsidP="00B410EB">
            <w:pPr>
              <w:pStyle w:val="NoSpacing"/>
            </w:pPr>
            <w:r>
              <w:t>All denominator subsets are permissible for this outcome</w:t>
            </w:r>
          </w:p>
          <w:p w14:paraId="40B2B64C" w14:textId="72941536" w:rsidR="00855505" w:rsidRDefault="00855505" w:rsidP="007F7C07">
            <w:pPr>
              <w:pStyle w:val="NoSpacing"/>
            </w:pPr>
          </w:p>
        </w:tc>
      </w:tr>
    </w:tbl>
    <w:p w14:paraId="40B2B697" w14:textId="77777777" w:rsidR="00356CF4" w:rsidRPr="008F249E" w:rsidRDefault="00356CF4" w:rsidP="00E72F21">
      <w:pPr>
        <w:pStyle w:val="Heading2"/>
      </w:pPr>
    </w:p>
    <w:sectPr w:rsidR="00356CF4" w:rsidRPr="008F249E" w:rsidSect="00E3456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2B6A0" w14:textId="77777777" w:rsidR="006A493D" w:rsidRDefault="006A493D" w:rsidP="00F63191">
      <w:pPr>
        <w:spacing w:after="0" w:line="240" w:lineRule="auto"/>
      </w:pPr>
      <w:r>
        <w:separator/>
      </w:r>
    </w:p>
  </w:endnote>
  <w:endnote w:type="continuationSeparator" w:id="0">
    <w:p w14:paraId="40B2B6A1" w14:textId="77777777" w:rsidR="006A493D" w:rsidRDefault="006A493D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11AE" w14:textId="7CC8FFE1" w:rsidR="008479EA" w:rsidRDefault="008479EA">
    <w:pPr>
      <w:pStyle w:val="Footer"/>
    </w:pPr>
    <w:r>
      <w:t>09/24/14</w:t>
    </w:r>
  </w:p>
  <w:p w14:paraId="40B2B6A4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B69E" w14:textId="77777777" w:rsidR="006A493D" w:rsidRDefault="006A493D" w:rsidP="00F63191">
      <w:pPr>
        <w:spacing w:after="0" w:line="240" w:lineRule="auto"/>
      </w:pPr>
      <w:r>
        <w:separator/>
      </w:r>
    </w:p>
  </w:footnote>
  <w:footnote w:type="continuationSeparator" w:id="0">
    <w:p w14:paraId="40B2B69F" w14:textId="77777777" w:rsidR="006A493D" w:rsidRDefault="006A493D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B6A2" w14:textId="0927FCFD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890"/>
    <w:multiLevelType w:val="hybridMultilevel"/>
    <w:tmpl w:val="DE02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05C80"/>
    <w:multiLevelType w:val="hybridMultilevel"/>
    <w:tmpl w:val="B8F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27017"/>
    <w:rsid w:val="00031069"/>
    <w:rsid w:val="00055843"/>
    <w:rsid w:val="000715C3"/>
    <w:rsid w:val="000C575F"/>
    <w:rsid w:val="000D1199"/>
    <w:rsid w:val="000D5A2D"/>
    <w:rsid w:val="000E7EED"/>
    <w:rsid w:val="00100A2F"/>
    <w:rsid w:val="00107C1A"/>
    <w:rsid w:val="0011709A"/>
    <w:rsid w:val="001448E7"/>
    <w:rsid w:val="00165D76"/>
    <w:rsid w:val="001D6BEA"/>
    <w:rsid w:val="002224F0"/>
    <w:rsid w:val="00245754"/>
    <w:rsid w:val="002637DC"/>
    <w:rsid w:val="00271E53"/>
    <w:rsid w:val="002845C2"/>
    <w:rsid w:val="002D1843"/>
    <w:rsid w:val="002E14AF"/>
    <w:rsid w:val="0032246B"/>
    <w:rsid w:val="003438C3"/>
    <w:rsid w:val="00346B8D"/>
    <w:rsid w:val="00356CF4"/>
    <w:rsid w:val="00366D0B"/>
    <w:rsid w:val="00375652"/>
    <w:rsid w:val="00383516"/>
    <w:rsid w:val="003844DB"/>
    <w:rsid w:val="003A409E"/>
    <w:rsid w:val="003F4E8D"/>
    <w:rsid w:val="003F614D"/>
    <w:rsid w:val="00416DC5"/>
    <w:rsid w:val="00416E44"/>
    <w:rsid w:val="004C3E9B"/>
    <w:rsid w:val="00502BE4"/>
    <w:rsid w:val="00506BC5"/>
    <w:rsid w:val="00536799"/>
    <w:rsid w:val="0054662A"/>
    <w:rsid w:val="00561D6D"/>
    <w:rsid w:val="005802A0"/>
    <w:rsid w:val="005857E6"/>
    <w:rsid w:val="005B79DD"/>
    <w:rsid w:val="005C70A1"/>
    <w:rsid w:val="005D0DD4"/>
    <w:rsid w:val="005D3267"/>
    <w:rsid w:val="005F4D43"/>
    <w:rsid w:val="00651532"/>
    <w:rsid w:val="006A493D"/>
    <w:rsid w:val="007131A3"/>
    <w:rsid w:val="00713FD3"/>
    <w:rsid w:val="007164C7"/>
    <w:rsid w:val="00743628"/>
    <w:rsid w:val="007532B0"/>
    <w:rsid w:val="00760D27"/>
    <w:rsid w:val="00787D45"/>
    <w:rsid w:val="007C43F7"/>
    <w:rsid w:val="007C728B"/>
    <w:rsid w:val="007C7C85"/>
    <w:rsid w:val="007E0395"/>
    <w:rsid w:val="007F675B"/>
    <w:rsid w:val="007F7C07"/>
    <w:rsid w:val="008216A0"/>
    <w:rsid w:val="00823868"/>
    <w:rsid w:val="00827557"/>
    <w:rsid w:val="008479EA"/>
    <w:rsid w:val="00855505"/>
    <w:rsid w:val="00861788"/>
    <w:rsid w:val="008722BB"/>
    <w:rsid w:val="008779F5"/>
    <w:rsid w:val="0088642E"/>
    <w:rsid w:val="00886E0E"/>
    <w:rsid w:val="008A5405"/>
    <w:rsid w:val="008C2A4B"/>
    <w:rsid w:val="008C4778"/>
    <w:rsid w:val="008C5E04"/>
    <w:rsid w:val="008D1A8E"/>
    <w:rsid w:val="008F0411"/>
    <w:rsid w:val="008F249E"/>
    <w:rsid w:val="009248DD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B1999"/>
    <w:rsid w:val="00AB2DF6"/>
    <w:rsid w:val="00AC3A97"/>
    <w:rsid w:val="00AD706B"/>
    <w:rsid w:val="00AE01E9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86C48"/>
    <w:rsid w:val="00C95D37"/>
    <w:rsid w:val="00C9758A"/>
    <w:rsid w:val="00CA2D3E"/>
    <w:rsid w:val="00CA4C08"/>
    <w:rsid w:val="00CC28BC"/>
    <w:rsid w:val="00CC4A1D"/>
    <w:rsid w:val="00CD7069"/>
    <w:rsid w:val="00D1777E"/>
    <w:rsid w:val="00D63CD3"/>
    <w:rsid w:val="00DB7651"/>
    <w:rsid w:val="00DE660A"/>
    <w:rsid w:val="00E20EA0"/>
    <w:rsid w:val="00E3456D"/>
    <w:rsid w:val="00E43145"/>
    <w:rsid w:val="00E71412"/>
    <w:rsid w:val="00E72F21"/>
    <w:rsid w:val="00EB6678"/>
    <w:rsid w:val="00EB7647"/>
    <w:rsid w:val="00EF333D"/>
    <w:rsid w:val="00F05C01"/>
    <w:rsid w:val="00F069C3"/>
    <w:rsid w:val="00F06C5E"/>
    <w:rsid w:val="00F203D0"/>
    <w:rsid w:val="00F20443"/>
    <w:rsid w:val="00F32A26"/>
    <w:rsid w:val="00F50BA4"/>
    <w:rsid w:val="00F63191"/>
    <w:rsid w:val="00F64CD1"/>
    <w:rsid w:val="00F81588"/>
    <w:rsid w:val="00F82949"/>
    <w:rsid w:val="00F927B0"/>
    <w:rsid w:val="00FC05A0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B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861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861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395">
                  <w:marLeft w:val="0"/>
                  <w:marRight w:val="0"/>
                  <w:marTop w:val="0"/>
                  <w:marBottom w:val="0"/>
                  <w:divBdr>
                    <w:top w:val="single" w:sz="8" w:space="0" w:color="666699"/>
                    <w:left w:val="single" w:sz="8" w:space="0" w:color="666699"/>
                    <w:bottom w:val="single" w:sz="8" w:space="0" w:color="666699"/>
                    <w:right w:val="single" w:sz="8" w:space="0" w:color="666699"/>
                  </w:divBdr>
                  <w:divsChild>
                    <w:div w:id="17915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785">
                          <w:marLeft w:val="2712"/>
                          <w:marRight w:val="187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297299003">
                              <w:marLeft w:val="187"/>
                              <w:marRight w:val="187"/>
                              <w:marTop w:val="187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5409">
                                          <w:marLeft w:val="0"/>
                                          <w:marRight w:val="0"/>
                                          <w:marTop w:val="187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161">
                  <w:marLeft w:val="0"/>
                  <w:marRight w:val="0"/>
                  <w:marTop w:val="0"/>
                  <w:marBottom w:val="0"/>
                  <w:divBdr>
                    <w:top w:val="single" w:sz="8" w:space="0" w:color="666699"/>
                    <w:left w:val="single" w:sz="8" w:space="0" w:color="666699"/>
                    <w:bottom w:val="single" w:sz="8" w:space="0" w:color="666699"/>
                    <w:right w:val="single" w:sz="8" w:space="0" w:color="666699"/>
                  </w:divBdr>
                  <w:divsChild>
                    <w:div w:id="1109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490">
                          <w:marLeft w:val="2712"/>
                          <w:marRight w:val="187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2022705383">
                              <w:marLeft w:val="187"/>
                              <w:marRight w:val="187"/>
                              <w:marTop w:val="187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9703">
                                          <w:marLeft w:val="0"/>
                                          <w:marRight w:val="0"/>
                                          <w:marTop w:val="187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023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0B74C-938F-4E35-8578-7EA57101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2014-09-24T20:11:00Z</dcterms:created>
  <dcterms:modified xsi:type="dcterms:W3CDTF">2014-09-24T20:11:00Z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