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7927E6" w:rsidP="00AD706B">
      <w:pPr>
        <w:pStyle w:val="Heading1"/>
      </w:pPr>
      <w:r w:rsidRPr="007927E6">
        <w:t>IT-4.1</w:t>
      </w:r>
      <w:r w:rsidR="00FE783D">
        <w:t>: Improvement in Risk A</w:t>
      </w:r>
      <w:r w:rsidR="00FE783D" w:rsidRPr="00FE783D">
        <w:t>djusted Potenti</w:t>
      </w:r>
      <w:r w:rsidR="00FE783D">
        <w:t>ally Preventable Complications R</w:t>
      </w:r>
      <w:r w:rsidR="00FE783D" w:rsidRPr="00FE783D">
        <w:t>ate(s)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04763B" w:rsidRDefault="002C22E2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IT-4.1 </w:t>
            </w:r>
            <w:r w:rsidR="0004763B" w:rsidRPr="0004763B">
              <w:rPr>
                <w:b/>
              </w:rPr>
              <w:t>Improvement in Risk Adjusted Potentially Preventable Complications Rate(s)</w:t>
            </w:r>
          </w:p>
        </w:tc>
      </w:tr>
      <w:tr w:rsidR="00AD706B">
        <w:tc>
          <w:tcPr>
            <w:tcW w:w="2718" w:type="dxa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Pr="003C12CE" w:rsidRDefault="003C12CE" w:rsidP="00A76B91">
            <w:pPr>
              <w:pStyle w:val="NoSpacing"/>
            </w:pPr>
            <w:r w:rsidRPr="003C12CE">
              <w:t>Improve 5 risk adjusted PPC rates</w:t>
            </w:r>
            <w:r>
              <w:t>.</w:t>
            </w:r>
          </w:p>
        </w:tc>
      </w:tr>
      <w:tr w:rsidR="00AD706B">
        <w:tc>
          <w:tcPr>
            <w:tcW w:w="2718" w:type="dxa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04763B" w:rsidP="00B05CBF">
            <w:pPr>
              <w:pStyle w:val="NoSpacing"/>
            </w:pPr>
            <w:r>
              <w:t>N/A</w:t>
            </w:r>
          </w:p>
        </w:tc>
      </w:tr>
      <w:tr w:rsidR="00AD706B">
        <w:tc>
          <w:tcPr>
            <w:tcW w:w="2718" w:type="dxa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0E7DF8" w:rsidP="00FE783D">
            <w:pPr>
              <w:pStyle w:val="NoSpacing"/>
            </w:pPr>
            <w:r>
              <w:t>3M</w:t>
            </w:r>
          </w:p>
        </w:tc>
      </w:tr>
      <w:tr w:rsidR="00AD706B">
        <w:tc>
          <w:tcPr>
            <w:tcW w:w="2718" w:type="dxa"/>
          </w:tcPr>
          <w:p w:rsidR="00AD706B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631E85" w:rsidRDefault="000E7DF8" w:rsidP="00561D6D">
            <w:pPr>
              <w:pStyle w:val="NoSpacing"/>
            </w:pPr>
            <w:r>
              <w:t>Not Available</w:t>
            </w:r>
            <w:r w:rsidR="00B05CBF">
              <w:t xml:space="preserve"> </w:t>
            </w:r>
          </w:p>
        </w:tc>
      </w:tr>
      <w:tr w:rsidR="00AD706B">
        <w:tc>
          <w:tcPr>
            <w:tcW w:w="2718" w:type="dxa"/>
          </w:tcPr>
          <w:p w:rsidR="00AD706B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AD706B" w:rsidRDefault="00AD706B" w:rsidP="00AD706B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2C22E2">
        <w:tc>
          <w:tcPr>
            <w:tcW w:w="2718" w:type="dxa"/>
          </w:tcPr>
          <w:p w:rsidR="002C22E2" w:rsidRDefault="002C22E2" w:rsidP="00FE783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2C22E2" w:rsidRDefault="002C22E2" w:rsidP="00B7491D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2C22E2" w:rsidRPr="008331B0" w:rsidTr="00B7491D">
              <w:tc>
                <w:tcPr>
                  <w:tcW w:w="2209" w:type="dxa"/>
                </w:tcPr>
                <w:p w:rsidR="002C22E2" w:rsidRPr="008331B0" w:rsidRDefault="002C22E2" w:rsidP="00B7491D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2C22E2" w:rsidRPr="008331B0" w:rsidRDefault="002C22E2" w:rsidP="00B7491D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2C22E2" w:rsidRPr="008331B0" w:rsidRDefault="002C22E2" w:rsidP="00B7491D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2C22E2" w:rsidRPr="008331B0" w:rsidRDefault="002C22E2" w:rsidP="00B7491D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2C22E2" w:rsidRPr="008331B0" w:rsidRDefault="002C22E2" w:rsidP="00B7491D">
                  <w:pPr>
                    <w:pStyle w:val="NoSpacing"/>
                    <w:jc w:val="center"/>
                  </w:pPr>
                </w:p>
              </w:tc>
            </w:tr>
            <w:tr w:rsidR="002C22E2" w:rsidRPr="008331B0" w:rsidTr="00B7491D">
              <w:tc>
                <w:tcPr>
                  <w:tcW w:w="2209" w:type="dxa"/>
                </w:tcPr>
                <w:p w:rsidR="002C22E2" w:rsidRPr="008331B0" w:rsidRDefault="002C22E2" w:rsidP="00B7491D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2C22E2" w:rsidRDefault="002C22E2" w:rsidP="00B7491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2C22E2" w:rsidRDefault="002C22E2" w:rsidP="00B7491D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2C22E2" w:rsidRPr="008331B0" w:rsidRDefault="002C22E2" w:rsidP="00B7491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2C22E2" w:rsidRDefault="002C22E2" w:rsidP="00B7491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2C22E2" w:rsidRDefault="002C22E2" w:rsidP="00B7491D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2C22E2" w:rsidRPr="008331B0" w:rsidRDefault="002C22E2" w:rsidP="00B7491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2C22E2" w:rsidRDefault="002C22E2" w:rsidP="003C12CE">
            <w:pPr>
              <w:pStyle w:val="NoSpacing"/>
            </w:pPr>
          </w:p>
        </w:tc>
      </w:tr>
      <w:tr w:rsidR="00AD706B">
        <w:tc>
          <w:tcPr>
            <w:tcW w:w="2718" w:type="dxa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9F78A7" w:rsidRDefault="00430959" w:rsidP="00430959">
            <w:pPr>
              <w:pStyle w:val="NoSpacing"/>
            </w:pPr>
            <w:r>
              <w:t>None</w:t>
            </w:r>
          </w:p>
        </w:tc>
      </w:tr>
      <w:tr w:rsidR="00AD706B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AD706B" w:rsidRDefault="00A76B91" w:rsidP="001D6BEA">
            <w:pPr>
              <w:pStyle w:val="NoSpacing"/>
            </w:pPr>
            <w:r>
              <w:t xml:space="preserve">This measure does not have a traditional denominator format.  </w:t>
            </w:r>
            <w:r w:rsidR="00205300">
              <w:t>Each rates denominator is specific to the selected PPC the provider aims to reduce. P</w:t>
            </w:r>
            <w:r>
              <w:t xml:space="preserve">roviders will select and report improvement in PPC rates as reported in Category 4 OR providers may opt to use internal PPC reports.  </w:t>
            </w:r>
          </w:p>
          <w:p w:rsidR="00205300" w:rsidRDefault="00205300" w:rsidP="001D6BEA">
            <w:pPr>
              <w:pStyle w:val="NoSpacing"/>
            </w:pPr>
          </w:p>
          <w:p w:rsidR="00205300" w:rsidRDefault="00205300" w:rsidP="001D6BEA">
            <w:pPr>
              <w:pStyle w:val="NoSpacing"/>
            </w:pPr>
            <w:r>
              <w:t>Rate #1: Denominator for the first PPC to be reported</w:t>
            </w:r>
            <w:r w:rsidR="009A2025">
              <w:t xml:space="preserve"> (to be defined by the provider)</w:t>
            </w:r>
          </w:p>
          <w:p w:rsidR="00205300" w:rsidRDefault="00205300" w:rsidP="001D6BEA">
            <w:pPr>
              <w:pStyle w:val="NoSpacing"/>
            </w:pPr>
            <w:r>
              <w:t>Rate #2: Denominator for the second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Default="00205300" w:rsidP="001D6BEA">
            <w:pPr>
              <w:pStyle w:val="NoSpacing"/>
            </w:pPr>
            <w:r>
              <w:t>Rate #3: Denominator for the third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Default="00205300" w:rsidP="001D6BEA">
            <w:pPr>
              <w:pStyle w:val="NoSpacing"/>
            </w:pPr>
            <w:r>
              <w:t>Rate #4: Denominator for the fourth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Pr="009F7E66" w:rsidRDefault="00205300" w:rsidP="00205300">
            <w:pPr>
              <w:pStyle w:val="NoSpacing"/>
            </w:pPr>
            <w:r>
              <w:t>Rate #5: Denominator for the fifth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</w:tc>
      </w:tr>
      <w:tr w:rsidR="00787D45">
        <w:trPr>
          <w:trHeight w:val="728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787D45" w:rsidRPr="0012650D" w:rsidRDefault="00787D45" w:rsidP="00FE783D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>
        <w:trPr>
          <w:trHeight w:val="710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787D45" w:rsidRPr="001D6BEA" w:rsidRDefault="00787D45" w:rsidP="00FE783D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>
        <w:tc>
          <w:tcPr>
            <w:tcW w:w="2718" w:type="dxa"/>
          </w:tcPr>
          <w:p w:rsidR="00D63CD3" w:rsidRDefault="00D63CD3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lastRenderedPageBreak/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>
        <w:tc>
          <w:tcPr>
            <w:tcW w:w="2718" w:type="dxa"/>
          </w:tcPr>
          <w:p w:rsidR="00AC3A97" w:rsidRPr="00717546" w:rsidRDefault="00AC3A97" w:rsidP="00FE783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205300" w:rsidRDefault="00205300" w:rsidP="00205300">
            <w:pPr>
              <w:pStyle w:val="NoSpacing"/>
            </w:pPr>
            <w:r>
              <w:t xml:space="preserve">This measure does not have a traditional numerator format.  Each rates numerator is specific to the selected PPC the provider aims to reduce. Providers will select and report improvement in PPC rates as reported in Category 4 OR providers may opt to use internal PPC reports.  </w:t>
            </w:r>
          </w:p>
          <w:p w:rsidR="00205300" w:rsidRDefault="00205300" w:rsidP="00205300">
            <w:pPr>
              <w:pStyle w:val="NoSpacing"/>
            </w:pPr>
          </w:p>
          <w:p w:rsidR="00205300" w:rsidRDefault="00205300" w:rsidP="00205300">
            <w:pPr>
              <w:pStyle w:val="NoSpacing"/>
            </w:pPr>
            <w:r>
              <w:t>Rate #1: Numerator for the first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Default="00205300" w:rsidP="00205300">
            <w:pPr>
              <w:pStyle w:val="NoSpacing"/>
            </w:pPr>
            <w:r>
              <w:t>Rate #2: Numerator for the second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Default="00205300" w:rsidP="00205300">
            <w:pPr>
              <w:pStyle w:val="NoSpacing"/>
            </w:pPr>
            <w:r>
              <w:t>Rate #3: Numerator for the third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205300" w:rsidRDefault="00205300" w:rsidP="00205300">
            <w:pPr>
              <w:pStyle w:val="NoSpacing"/>
            </w:pPr>
            <w:r>
              <w:t>Rate #4: Numerator for the fourth PPC to be reported</w:t>
            </w:r>
            <w:r w:rsidR="009A2025">
              <w:t xml:space="preserve"> </w:t>
            </w:r>
            <w:r w:rsidR="009A2025">
              <w:t>(to be defined by the provider)</w:t>
            </w:r>
          </w:p>
          <w:p w:rsidR="00801083" w:rsidRPr="00CD4F75" w:rsidRDefault="00205300" w:rsidP="00801083">
            <w:pPr>
              <w:pStyle w:val="NoSpacing"/>
            </w:pPr>
            <w:r>
              <w:t>Rate #5: Numerator for the fifth PPC to be reported</w:t>
            </w:r>
            <w:r w:rsidR="009A2025">
              <w:t xml:space="preserve"> </w:t>
            </w:r>
            <w:r w:rsidR="009A2025">
              <w:t>(to be defined by the provider)</w:t>
            </w:r>
            <w:bookmarkStart w:id="0" w:name="_GoBack"/>
            <w:bookmarkEnd w:id="0"/>
          </w:p>
        </w:tc>
      </w:tr>
      <w:tr w:rsidR="00787D45">
        <w:tc>
          <w:tcPr>
            <w:tcW w:w="2718" w:type="dxa"/>
          </w:tcPr>
          <w:p w:rsidR="00787D45" w:rsidRPr="00717546" w:rsidRDefault="00787D45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787D45" w:rsidRPr="0012650D" w:rsidRDefault="00FA7B22" w:rsidP="00FE783D">
            <w:pPr>
              <w:pStyle w:val="NoSpacing"/>
              <w:rPr>
                <w:b/>
              </w:rPr>
            </w:pPr>
            <w:r>
              <w:t>The</w:t>
            </w:r>
            <w:r w:rsidR="00787D45">
              <w:t xml:space="preserve"> Measure Steward does not identify specific numerator inclusions beyond what is described in the numerator description.</w:t>
            </w:r>
          </w:p>
        </w:tc>
      </w:tr>
      <w:tr w:rsidR="00787D45">
        <w:tc>
          <w:tcPr>
            <w:tcW w:w="2718" w:type="dxa"/>
          </w:tcPr>
          <w:p w:rsidR="00787D45" w:rsidRPr="00717546" w:rsidRDefault="00787D45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787D45" w:rsidRPr="001D6BEA" w:rsidRDefault="00787D45" w:rsidP="00FE783D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>
        <w:tc>
          <w:tcPr>
            <w:tcW w:w="2718" w:type="dxa"/>
          </w:tcPr>
          <w:p w:rsidR="00AD706B" w:rsidRPr="00717546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AD706B" w:rsidP="00922C3D">
            <w:pPr>
              <w:pStyle w:val="NoSpacing"/>
            </w:pPr>
            <w:r>
              <w:t>Inpatient</w:t>
            </w:r>
          </w:p>
        </w:tc>
      </w:tr>
      <w:tr w:rsidR="00AD706B">
        <w:tc>
          <w:tcPr>
            <w:tcW w:w="2718" w:type="dxa"/>
          </w:tcPr>
          <w:p w:rsidR="00AD706B" w:rsidRDefault="00AD706B" w:rsidP="00FE783D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AF3A3D" w:rsidP="00AF3A3D">
            <w:pPr>
              <w:pStyle w:val="NoSpacing"/>
            </w:pPr>
            <w:r>
              <w:t>Admin</w:t>
            </w:r>
            <w:r w:rsidR="00922C3D">
              <w:t>istrative/Clinical data sources</w:t>
            </w:r>
            <w:r w:rsidR="00A76B91">
              <w:t>; Category 4 reports</w:t>
            </w:r>
          </w:p>
        </w:tc>
      </w:tr>
      <w:tr w:rsidR="00205300">
        <w:tc>
          <w:tcPr>
            <w:tcW w:w="2718" w:type="dxa"/>
          </w:tcPr>
          <w:p w:rsidR="00205300" w:rsidRPr="00717546" w:rsidRDefault="00205300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205300" w:rsidRDefault="00205300" w:rsidP="00821015">
            <w:pPr>
              <w:pStyle w:val="NoSpacing"/>
            </w:pPr>
            <w:r>
              <w:t>All denominator subsets are permissible for this outcome</w:t>
            </w:r>
          </w:p>
          <w:p w:rsidR="00205300" w:rsidRDefault="00205300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 w:rsidSect="00AF0F2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5B" w:rsidRDefault="00AD6D5B" w:rsidP="00F63191">
      <w:pPr>
        <w:spacing w:after="0" w:line="240" w:lineRule="auto"/>
      </w:pPr>
      <w:r>
        <w:separator/>
      </w:r>
    </w:p>
  </w:endnote>
  <w:endnote w:type="continuationSeparator" w:id="0">
    <w:p w:rsidR="00AD6D5B" w:rsidRDefault="00AD6D5B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A7" w:rsidRDefault="00D51DA7">
    <w:pPr>
      <w:pStyle w:val="Footer"/>
    </w:pPr>
    <w:r>
      <w:t>09/30/14</w:t>
    </w:r>
  </w:p>
  <w:p w:rsidR="00AD6D5B" w:rsidRDefault="00AD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5B" w:rsidRDefault="00AD6D5B" w:rsidP="00F63191">
      <w:pPr>
        <w:spacing w:after="0" w:line="240" w:lineRule="auto"/>
      </w:pPr>
      <w:r>
        <w:separator/>
      </w:r>
    </w:p>
  </w:footnote>
  <w:footnote w:type="continuationSeparator" w:id="0">
    <w:p w:rsidR="00AD6D5B" w:rsidRDefault="00AD6D5B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5B" w:rsidRDefault="00AD6D5B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4763B"/>
    <w:rsid w:val="000C575F"/>
    <w:rsid w:val="000D1199"/>
    <w:rsid w:val="000D5A2D"/>
    <w:rsid w:val="000D6F07"/>
    <w:rsid w:val="000E7DF8"/>
    <w:rsid w:val="000E7EED"/>
    <w:rsid w:val="00100A2F"/>
    <w:rsid w:val="00107C1A"/>
    <w:rsid w:val="00116208"/>
    <w:rsid w:val="0011709A"/>
    <w:rsid w:val="00131B75"/>
    <w:rsid w:val="00165D76"/>
    <w:rsid w:val="001D6BEA"/>
    <w:rsid w:val="00205300"/>
    <w:rsid w:val="002224F0"/>
    <w:rsid w:val="00245754"/>
    <w:rsid w:val="00271E53"/>
    <w:rsid w:val="0028148B"/>
    <w:rsid w:val="002845C2"/>
    <w:rsid w:val="002C22E2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C12CE"/>
    <w:rsid w:val="003F4E8D"/>
    <w:rsid w:val="00416E44"/>
    <w:rsid w:val="00430959"/>
    <w:rsid w:val="004E7F26"/>
    <w:rsid w:val="004F1A0C"/>
    <w:rsid w:val="00502BE4"/>
    <w:rsid w:val="00506BC5"/>
    <w:rsid w:val="00536799"/>
    <w:rsid w:val="00561D6D"/>
    <w:rsid w:val="005767D0"/>
    <w:rsid w:val="005802A0"/>
    <w:rsid w:val="005857E6"/>
    <w:rsid w:val="005B79DD"/>
    <w:rsid w:val="005C70A1"/>
    <w:rsid w:val="005F4D43"/>
    <w:rsid w:val="00605F3D"/>
    <w:rsid w:val="007164C7"/>
    <w:rsid w:val="00734107"/>
    <w:rsid w:val="00743628"/>
    <w:rsid w:val="00760D27"/>
    <w:rsid w:val="00787D45"/>
    <w:rsid w:val="007927E6"/>
    <w:rsid w:val="007C728B"/>
    <w:rsid w:val="007C7C85"/>
    <w:rsid w:val="007E0395"/>
    <w:rsid w:val="007F675B"/>
    <w:rsid w:val="007F7C07"/>
    <w:rsid w:val="00801083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22C3D"/>
    <w:rsid w:val="00965A2A"/>
    <w:rsid w:val="00967948"/>
    <w:rsid w:val="00994A41"/>
    <w:rsid w:val="009952DA"/>
    <w:rsid w:val="00996DD5"/>
    <w:rsid w:val="009A2025"/>
    <w:rsid w:val="009C6EA3"/>
    <w:rsid w:val="009F04D0"/>
    <w:rsid w:val="009F78A7"/>
    <w:rsid w:val="009F7E66"/>
    <w:rsid w:val="00A11BD9"/>
    <w:rsid w:val="00A76B91"/>
    <w:rsid w:val="00A82574"/>
    <w:rsid w:val="00AB2B31"/>
    <w:rsid w:val="00AC3A97"/>
    <w:rsid w:val="00AD6D5B"/>
    <w:rsid w:val="00AD706B"/>
    <w:rsid w:val="00AE6882"/>
    <w:rsid w:val="00AF0F25"/>
    <w:rsid w:val="00AF3A3D"/>
    <w:rsid w:val="00B05CBF"/>
    <w:rsid w:val="00B20462"/>
    <w:rsid w:val="00B352CF"/>
    <w:rsid w:val="00B546CF"/>
    <w:rsid w:val="00B65D92"/>
    <w:rsid w:val="00B7257A"/>
    <w:rsid w:val="00BA61F1"/>
    <w:rsid w:val="00BC4643"/>
    <w:rsid w:val="00C01E6F"/>
    <w:rsid w:val="00C36D72"/>
    <w:rsid w:val="00C86C48"/>
    <w:rsid w:val="00C96415"/>
    <w:rsid w:val="00C9758A"/>
    <w:rsid w:val="00CA2D3E"/>
    <w:rsid w:val="00CA4C08"/>
    <w:rsid w:val="00CC28BC"/>
    <w:rsid w:val="00CD4F75"/>
    <w:rsid w:val="00CD7069"/>
    <w:rsid w:val="00D1777E"/>
    <w:rsid w:val="00D51DA7"/>
    <w:rsid w:val="00D63CD3"/>
    <w:rsid w:val="00DB7651"/>
    <w:rsid w:val="00DD6110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5302A"/>
    <w:rsid w:val="00F63191"/>
    <w:rsid w:val="00F64CD1"/>
    <w:rsid w:val="00F927B0"/>
    <w:rsid w:val="00FA7B22"/>
    <w:rsid w:val="00FC70E0"/>
    <w:rsid w:val="00FE783D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74964-AE10-4B0E-B15E-FB9376A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4</cp:revision>
  <dcterms:created xsi:type="dcterms:W3CDTF">2014-10-01T16:49:00Z</dcterms:created>
  <dcterms:modified xsi:type="dcterms:W3CDTF">2014-10-01T17:05:00Z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