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4ADC" w14:textId="6BB2938E" w:rsidR="00AD706B" w:rsidRDefault="00EB12F3" w:rsidP="00AD706B">
      <w:pPr>
        <w:pStyle w:val="Heading1"/>
      </w:pPr>
      <w:r>
        <w:t>IT-4.17</w:t>
      </w:r>
      <w:r w:rsidR="00AD706B">
        <w:t xml:space="preserve">:  </w:t>
      </w:r>
      <w:r w:rsidRPr="00EB12F3">
        <w:t xml:space="preserve">Stroke - Thrombolytic Therapy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:rsidRPr="002C57D0" w14:paraId="2FFE4ADF" w14:textId="77777777" w:rsidTr="005C61BE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2FFE4ADD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2FFE4ADE" w14:textId="03C67427" w:rsidR="00AD706B" w:rsidRPr="002C57D0" w:rsidRDefault="006C4D5F" w:rsidP="009F1AA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IT-4.17 </w:t>
            </w:r>
            <w:r w:rsidR="009F1AAF" w:rsidRPr="002C57D0">
              <w:rPr>
                <w:b/>
              </w:rPr>
              <w:t xml:space="preserve">Stroke - Thrombolytic Therapy  </w:t>
            </w:r>
          </w:p>
        </w:tc>
      </w:tr>
      <w:tr w:rsidR="00AD706B" w:rsidRPr="002C57D0" w14:paraId="2FFE4AE2" w14:textId="77777777" w:rsidTr="005C61BE">
        <w:tc>
          <w:tcPr>
            <w:tcW w:w="2808" w:type="dxa"/>
          </w:tcPr>
          <w:p w14:paraId="2FFE4AE0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2FFE4AE1" w14:textId="3DF3B8E9" w:rsidR="00344A5D" w:rsidRPr="00344A5D" w:rsidRDefault="00EB12F3" w:rsidP="00274D35">
            <w:pPr>
              <w:pStyle w:val="NoSpacing"/>
              <w:rPr>
                <w:rFonts w:cs="Arial"/>
                <w:color w:val="000000"/>
              </w:rPr>
            </w:pPr>
            <w:r w:rsidRPr="0083253A">
              <w:t>This measure captures the proportion of acute ischemic stroke patients who arrive at this hospital within 2 hours of time last known well for whom IV t-PA was initiated at this hospital within 3 hours of time last known well.</w:t>
            </w:r>
            <w:r w:rsidRPr="002C57D0">
              <w:rPr>
                <w:rFonts w:cs="Arial"/>
                <w:color w:val="000000"/>
              </w:rPr>
              <w:t xml:space="preserve"> </w:t>
            </w:r>
          </w:p>
        </w:tc>
      </w:tr>
      <w:tr w:rsidR="00AD706B" w:rsidRPr="002C57D0" w14:paraId="2FFE4AE5" w14:textId="77777777" w:rsidTr="005C61BE">
        <w:tc>
          <w:tcPr>
            <w:tcW w:w="2808" w:type="dxa"/>
          </w:tcPr>
          <w:p w14:paraId="2FFE4AE3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2FFE4AE4" w14:textId="145B35A6" w:rsidR="00AD706B" w:rsidRPr="002C57D0" w:rsidRDefault="00DF210D" w:rsidP="00EB12F3">
            <w:pPr>
              <w:pStyle w:val="NoSpacing"/>
            </w:pPr>
            <w:r w:rsidRPr="002C57D0">
              <w:t>0</w:t>
            </w:r>
            <w:r w:rsidR="00EB12F3" w:rsidRPr="002C57D0">
              <w:t>437</w:t>
            </w:r>
          </w:p>
        </w:tc>
      </w:tr>
      <w:tr w:rsidR="00AD706B" w:rsidRPr="002C57D0" w14:paraId="2FFE4AE8" w14:textId="77777777" w:rsidTr="005C61BE">
        <w:tc>
          <w:tcPr>
            <w:tcW w:w="2808" w:type="dxa"/>
          </w:tcPr>
          <w:p w14:paraId="2FFE4AE6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2FFE4AE7" w14:textId="5A8E6CAC" w:rsidR="00AD706B" w:rsidRPr="002C57D0" w:rsidRDefault="00EB12F3" w:rsidP="00EB12F3">
            <w:pPr>
              <w:pStyle w:val="NoSpacing"/>
            </w:pPr>
            <w:r w:rsidRPr="002C57D0">
              <w:t>The Joint Commission</w:t>
            </w:r>
          </w:p>
        </w:tc>
      </w:tr>
      <w:tr w:rsidR="00AD706B" w:rsidRPr="002C57D0" w14:paraId="2FFE4AEB" w14:textId="77777777" w:rsidTr="005C61BE">
        <w:tc>
          <w:tcPr>
            <w:tcW w:w="2808" w:type="dxa"/>
          </w:tcPr>
          <w:p w14:paraId="2FFE4AE9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170F1CAB" w14:textId="77777777" w:rsidR="00AD706B" w:rsidRDefault="00274D35" w:rsidP="00EB12F3">
            <w:pPr>
              <w:pStyle w:val="NoSpacing"/>
            </w:pPr>
            <w:hyperlink r:id="rId12" w:history="1">
              <w:r w:rsidR="00DF210D" w:rsidRPr="002C57D0">
                <w:rPr>
                  <w:rStyle w:val="Hyperlink"/>
                </w:rPr>
                <w:t>http://www.qualityforum.org/QPS/0437</w:t>
              </w:r>
            </w:hyperlink>
            <w:r w:rsidR="00DF210D" w:rsidRPr="002C57D0">
              <w:t xml:space="preserve"> </w:t>
            </w:r>
          </w:p>
          <w:p w14:paraId="64256017" w14:textId="77777777" w:rsidR="002C57D0" w:rsidRDefault="002C57D0" w:rsidP="00EB12F3">
            <w:pPr>
              <w:pStyle w:val="NoSpacing"/>
            </w:pPr>
          </w:p>
          <w:p w14:paraId="00BE69A6" w14:textId="6E85BD5D" w:rsidR="002C57D0" w:rsidRDefault="006C4D5F" w:rsidP="00EB12F3">
            <w:pPr>
              <w:pStyle w:val="NoSpacing"/>
            </w:pPr>
            <w:r w:rsidRPr="006C4D5F">
              <w:t>http://www.qualitymeasures.ahrq.gov/content.aspx?id=46476</w:t>
            </w:r>
          </w:p>
          <w:p w14:paraId="2FFE4AEA" w14:textId="23E7A90C" w:rsidR="002C57D0" w:rsidRPr="002C57D0" w:rsidRDefault="002C57D0" w:rsidP="00EB12F3">
            <w:pPr>
              <w:pStyle w:val="NoSpacing"/>
            </w:pPr>
          </w:p>
        </w:tc>
      </w:tr>
      <w:tr w:rsidR="00AD706B" w:rsidRPr="002C57D0" w14:paraId="2FFE4AEE" w14:textId="77777777" w:rsidTr="005C61BE">
        <w:tc>
          <w:tcPr>
            <w:tcW w:w="2808" w:type="dxa"/>
          </w:tcPr>
          <w:p w14:paraId="2FFE4AEC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2FFE4AED" w14:textId="0051B449" w:rsidR="00AD706B" w:rsidRPr="002C57D0" w:rsidRDefault="00DF210D" w:rsidP="00AD706B">
            <w:pPr>
              <w:pStyle w:val="NoSpacing"/>
            </w:pPr>
            <w:r w:rsidRPr="002C57D0">
              <w:t>Non-Stand Alone (</w:t>
            </w:r>
            <w:r w:rsidR="00CB0AC1" w:rsidRPr="002C57D0">
              <w:t>NSA</w:t>
            </w:r>
            <w:r w:rsidRPr="002C57D0">
              <w:t>)</w:t>
            </w:r>
          </w:p>
        </w:tc>
      </w:tr>
      <w:tr w:rsidR="00344A5D" w:rsidRPr="002C57D0" w14:paraId="2FFE4AF1" w14:textId="77777777" w:rsidTr="005C61BE">
        <w:tc>
          <w:tcPr>
            <w:tcW w:w="2808" w:type="dxa"/>
          </w:tcPr>
          <w:p w14:paraId="2FFE4AEF" w14:textId="1BBE8895" w:rsidR="00344A5D" w:rsidRPr="002C57D0" w:rsidRDefault="00344A5D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68" w:type="dxa"/>
          </w:tcPr>
          <w:p w14:paraId="3BEAB271" w14:textId="77777777" w:rsidR="00344A5D" w:rsidRDefault="00344A5D" w:rsidP="00B410EB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344A5D" w:rsidRPr="008331B0" w14:paraId="389CC243" w14:textId="77777777" w:rsidTr="005C61BE">
              <w:tc>
                <w:tcPr>
                  <w:tcW w:w="2209" w:type="dxa"/>
                </w:tcPr>
                <w:p w14:paraId="35CC7E21" w14:textId="77777777" w:rsidR="00344A5D" w:rsidRPr="008331B0" w:rsidRDefault="00344A5D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010F931B" w14:textId="77777777" w:rsidR="00344A5D" w:rsidRPr="008331B0" w:rsidRDefault="00344A5D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4D8B217D" w14:textId="77777777" w:rsidR="00344A5D" w:rsidRPr="008331B0" w:rsidRDefault="00344A5D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6D909878" w14:textId="77777777" w:rsidR="00344A5D" w:rsidRPr="008331B0" w:rsidRDefault="00344A5D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5F3613A6" w14:textId="77777777" w:rsidR="00344A5D" w:rsidRPr="008331B0" w:rsidRDefault="00344A5D" w:rsidP="00B410EB">
                  <w:pPr>
                    <w:pStyle w:val="NoSpacing"/>
                    <w:jc w:val="center"/>
                  </w:pPr>
                </w:p>
              </w:tc>
            </w:tr>
            <w:tr w:rsidR="00344A5D" w:rsidRPr="008331B0" w14:paraId="7871C421" w14:textId="77777777" w:rsidTr="005C61BE">
              <w:tc>
                <w:tcPr>
                  <w:tcW w:w="2209" w:type="dxa"/>
                </w:tcPr>
                <w:p w14:paraId="70D560F3" w14:textId="77777777" w:rsidR="00344A5D" w:rsidRPr="008331B0" w:rsidRDefault="00344A5D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44F53799" w14:textId="77777777" w:rsidR="00344A5D" w:rsidRDefault="00344A5D" w:rsidP="00B410EB">
                  <w:pPr>
                    <w:pStyle w:val="NoSpacing"/>
                    <w:jc w:val="center"/>
                  </w:pPr>
                  <w:r w:rsidRPr="00EA4A39">
                    <w:t>Baseline + 5% *(performance gap)</w:t>
                  </w:r>
                </w:p>
                <w:p w14:paraId="0E62C306" w14:textId="77777777" w:rsidR="00344A5D" w:rsidRDefault="00344A5D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DE079DE" w14:textId="77777777" w:rsidR="00344A5D" w:rsidRPr="008331B0" w:rsidRDefault="00344A5D" w:rsidP="00B410EB">
                  <w:pPr>
                    <w:pStyle w:val="NoSpacing"/>
                    <w:jc w:val="center"/>
                  </w:pPr>
                  <w:r w:rsidRPr="00EA4A39">
                    <w:t xml:space="preserve">Baseline + 5% *(100%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27B03ECC" w14:textId="77777777" w:rsidR="00344A5D" w:rsidRDefault="00344A5D" w:rsidP="00B410EB">
                  <w:pPr>
                    <w:pStyle w:val="NoSpacing"/>
                    <w:jc w:val="center"/>
                  </w:pPr>
                  <w:r w:rsidRPr="00EA4A39">
                    <w:t xml:space="preserve">Baseline +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2F65E968" w14:textId="77777777" w:rsidR="00344A5D" w:rsidRDefault="00344A5D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3B817B1" w14:textId="77777777" w:rsidR="00344A5D" w:rsidRPr="008331B0" w:rsidRDefault="00344A5D" w:rsidP="00B410EB">
                  <w:pPr>
                    <w:pStyle w:val="NoSpacing"/>
                    <w:jc w:val="center"/>
                  </w:pPr>
                  <w:r w:rsidRPr="00EA4A39">
                    <w:t xml:space="preserve">Baseline + </w:t>
                  </w:r>
                  <w:r>
                    <w:t>10</w:t>
                  </w:r>
                  <w:r w:rsidRPr="00EA4A39">
                    <w:t xml:space="preserve">% *(100%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2FFE4AF0" w14:textId="14F3DE77" w:rsidR="00344A5D" w:rsidRPr="002C57D0" w:rsidRDefault="00344A5D" w:rsidP="00967948">
            <w:pPr>
              <w:pStyle w:val="NoSpacing"/>
            </w:pPr>
          </w:p>
        </w:tc>
      </w:tr>
      <w:tr w:rsidR="00AD706B" w:rsidRPr="002C57D0" w14:paraId="2FFE4AFA" w14:textId="77777777" w:rsidTr="005C61BE">
        <w:tc>
          <w:tcPr>
            <w:tcW w:w="2808" w:type="dxa"/>
          </w:tcPr>
          <w:p w14:paraId="2FFE4AF2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2FFE4AF9" w14:textId="5B8D4404" w:rsidR="009F78A7" w:rsidRPr="002C57D0" w:rsidRDefault="00CB0AC1" w:rsidP="00CB0AC1">
            <w:pPr>
              <w:pStyle w:val="NoSpacing"/>
            </w:pPr>
            <w:r w:rsidRPr="002C57D0">
              <w:t>None</w:t>
            </w:r>
          </w:p>
        </w:tc>
      </w:tr>
      <w:tr w:rsidR="00AD706B" w:rsidRPr="002C57D0" w14:paraId="2FFE4AFD" w14:textId="77777777" w:rsidTr="005C61BE">
        <w:tc>
          <w:tcPr>
            <w:tcW w:w="2808" w:type="dxa"/>
          </w:tcPr>
          <w:p w14:paraId="2FFE4AFB" w14:textId="77777777" w:rsidR="00AD706B" w:rsidRPr="002C57D0" w:rsidRDefault="00AD706B" w:rsidP="001D6BEA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Denominator</w:t>
            </w:r>
            <w:r w:rsidR="00C01E6F" w:rsidRPr="002C57D0">
              <w:rPr>
                <w:b/>
              </w:rPr>
              <w:t xml:space="preserve"> </w:t>
            </w:r>
            <w:r w:rsidR="00B05CBF" w:rsidRPr="002C57D0">
              <w:rPr>
                <w:b/>
              </w:rPr>
              <w:t>Description</w:t>
            </w:r>
            <w:r w:rsidR="00C01E6F" w:rsidRPr="002C57D0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2FFE4AFC" w14:textId="231DE1C0" w:rsidR="00A55D8F" w:rsidRPr="00805FF5" w:rsidRDefault="00A55D8F" w:rsidP="00A55D8F">
            <w:pPr>
              <w:pStyle w:val="NoSpacing"/>
            </w:pPr>
            <w:bookmarkStart w:id="0" w:name="_GoBack"/>
            <w:r w:rsidRPr="00805FF5">
              <w:rPr>
                <w:rFonts w:cs="Arial"/>
              </w:rPr>
              <w:t>Acute ischemic stroke patients whose time of arrival is within 2 hours (greater than or equal to 120 minutes) of time last known well</w:t>
            </w:r>
            <w:r w:rsidR="00DF210D" w:rsidRPr="00805FF5">
              <w:rPr>
                <w:rFonts w:cs="Arial"/>
              </w:rPr>
              <w:t>.</w:t>
            </w:r>
            <w:r w:rsidR="005E15F0">
              <w:rPr>
                <w:rFonts w:cs="Arial"/>
              </w:rPr>
              <w:t xml:space="preserve"> </w:t>
            </w:r>
            <w:bookmarkEnd w:id="0"/>
          </w:p>
        </w:tc>
      </w:tr>
      <w:tr w:rsidR="00787D45" w:rsidRPr="002C57D0" w14:paraId="2FFE4B00" w14:textId="77777777" w:rsidTr="005C61BE">
        <w:trPr>
          <w:trHeight w:val="728"/>
        </w:trPr>
        <w:tc>
          <w:tcPr>
            <w:tcW w:w="2808" w:type="dxa"/>
          </w:tcPr>
          <w:p w14:paraId="2FFE4AFE" w14:textId="77777777" w:rsidR="00787D45" w:rsidRPr="002C57D0" w:rsidRDefault="00787D45" w:rsidP="00C01E6F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2FFE4AFF" w14:textId="04D23CAB" w:rsidR="00787D45" w:rsidRPr="00805FF5" w:rsidRDefault="00805FF5" w:rsidP="002F15E3">
            <w:pPr>
              <w:pStyle w:val="NoSpacing"/>
            </w:pPr>
            <w:r w:rsidRPr="00805FF5">
              <w:t>Discharges with an International Classification of Diseases, Ninth Revision, Clinical Modification (ICD-9-CM) Principal Diagnosis Code for ischemic stroke (as defined in the appendices of the original measure documentation) whose time of arrival is within 2 hours (less than or equal to 120 minutes) of time last known well</w:t>
            </w:r>
            <w:r>
              <w:t>.</w:t>
            </w:r>
          </w:p>
        </w:tc>
      </w:tr>
      <w:tr w:rsidR="00787D45" w:rsidRPr="002C57D0" w14:paraId="2FFE4B03" w14:textId="77777777" w:rsidTr="005C61BE">
        <w:trPr>
          <w:trHeight w:val="710"/>
        </w:trPr>
        <w:tc>
          <w:tcPr>
            <w:tcW w:w="2808" w:type="dxa"/>
          </w:tcPr>
          <w:p w14:paraId="2FFE4B01" w14:textId="77777777" w:rsidR="00787D45" w:rsidRPr="002C57D0" w:rsidRDefault="00787D45" w:rsidP="00C01E6F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07AD32FF" w14:textId="77777777" w:rsidR="00805FF5" w:rsidRPr="0083253A" w:rsidRDefault="00805FF5" w:rsidP="0083253A">
            <w:pPr>
              <w:pStyle w:val="NoSpacing"/>
              <w:numPr>
                <w:ilvl w:val="0"/>
                <w:numId w:val="14"/>
              </w:numPr>
            </w:pPr>
            <w:r w:rsidRPr="0083253A">
              <w:t xml:space="preserve">Patients less than 18 years of age </w:t>
            </w:r>
          </w:p>
          <w:p w14:paraId="1A8A1FF4" w14:textId="77777777" w:rsidR="00805FF5" w:rsidRPr="0083253A" w:rsidRDefault="00805FF5" w:rsidP="0083253A">
            <w:pPr>
              <w:pStyle w:val="NoSpacing"/>
              <w:numPr>
                <w:ilvl w:val="0"/>
                <w:numId w:val="14"/>
              </w:numPr>
            </w:pPr>
            <w:r w:rsidRPr="0083253A">
              <w:t xml:space="preserve">Patients who have a Length of Stay greater than 120 days </w:t>
            </w:r>
          </w:p>
          <w:p w14:paraId="3FF899C6" w14:textId="19294A41" w:rsidR="00805FF5" w:rsidRPr="0083253A" w:rsidRDefault="00805FF5" w:rsidP="0083253A">
            <w:pPr>
              <w:pStyle w:val="NoSpacing"/>
              <w:numPr>
                <w:ilvl w:val="0"/>
                <w:numId w:val="14"/>
              </w:numPr>
            </w:pPr>
            <w:r w:rsidRPr="0083253A">
              <w:t xml:space="preserve">Patients enrolled in clinical trials </w:t>
            </w:r>
            <w:r w:rsidR="00344A5D">
              <w:t>related to stroke</w:t>
            </w:r>
          </w:p>
          <w:p w14:paraId="3F301B5E" w14:textId="6AAA4422" w:rsidR="00805FF5" w:rsidRPr="0083253A" w:rsidRDefault="00805FF5" w:rsidP="0083253A">
            <w:pPr>
              <w:pStyle w:val="NoSpacing"/>
              <w:numPr>
                <w:ilvl w:val="0"/>
                <w:numId w:val="14"/>
              </w:numPr>
            </w:pPr>
            <w:r w:rsidRPr="0083253A">
              <w:t xml:space="preserve">Patients admitted for Elective Carotid Intervention </w:t>
            </w:r>
          </w:p>
          <w:p w14:paraId="3396C834" w14:textId="2104C271" w:rsidR="00805FF5" w:rsidRPr="0083253A" w:rsidRDefault="00805FF5" w:rsidP="0083253A">
            <w:pPr>
              <w:pStyle w:val="NoSpacing"/>
              <w:numPr>
                <w:ilvl w:val="0"/>
                <w:numId w:val="14"/>
              </w:numPr>
            </w:pPr>
            <w:r w:rsidRPr="0083253A">
              <w:t xml:space="preserve">Time Last Known Well to arrival in the emergency department greater than 2 hours </w:t>
            </w:r>
          </w:p>
          <w:p w14:paraId="2FFE4B02" w14:textId="0A6E2721" w:rsidR="00246034" w:rsidRPr="00A83503" w:rsidRDefault="00805FF5" w:rsidP="006C4D5F">
            <w:pPr>
              <w:pStyle w:val="NoSpacing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3253A">
              <w:t xml:space="preserve">Patients with a documented Reason For Not Initiating IV Thrombolytic </w:t>
            </w:r>
          </w:p>
        </w:tc>
      </w:tr>
      <w:tr w:rsidR="00D63CD3" w:rsidRPr="002C57D0" w14:paraId="2FFE4B09" w14:textId="77777777" w:rsidTr="005C61BE">
        <w:tc>
          <w:tcPr>
            <w:tcW w:w="2808" w:type="dxa"/>
          </w:tcPr>
          <w:p w14:paraId="2FFE4B04" w14:textId="5740FC2F" w:rsidR="00D63CD3" w:rsidRPr="002C57D0" w:rsidRDefault="00D63CD3" w:rsidP="00AF103E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2FFE4B05" w14:textId="77777777" w:rsidR="00D63CD3" w:rsidRPr="00805FF5" w:rsidRDefault="00D63CD3" w:rsidP="00D63CD3">
            <w:pPr>
              <w:pStyle w:val="NoSpacing"/>
            </w:pPr>
            <w:r w:rsidRPr="00805FF5">
              <w:t xml:space="preserve">Providers must report a </w:t>
            </w:r>
            <w:r w:rsidR="0011709A" w:rsidRPr="00805FF5">
              <w:t>minimum of 3</w:t>
            </w:r>
            <w:r w:rsidR="0032246B" w:rsidRPr="00805FF5">
              <w:t xml:space="preserve">0 cases per measure during a </w:t>
            </w:r>
            <w:r w:rsidR="0011709A" w:rsidRPr="00805FF5">
              <w:t>12-month measurement period (15 cases for a 6-month measurement period)</w:t>
            </w:r>
          </w:p>
          <w:p w14:paraId="2FFE4B06" w14:textId="77777777" w:rsidR="0032246B" w:rsidRPr="00805FF5" w:rsidRDefault="0032246B" w:rsidP="0032246B">
            <w:pPr>
              <w:pStyle w:val="NoSpacing"/>
              <w:numPr>
                <w:ilvl w:val="0"/>
                <w:numId w:val="8"/>
              </w:numPr>
            </w:pPr>
            <w:r w:rsidRPr="00805FF5">
              <w:t xml:space="preserve">For a measurement period </w:t>
            </w:r>
            <w:r w:rsidR="003A409E" w:rsidRPr="00805FF5">
              <w:t xml:space="preserve">(either 6 or 12 </w:t>
            </w:r>
            <w:r w:rsidR="0011709A" w:rsidRPr="00805FF5">
              <w:t xml:space="preserve">months) where the </w:t>
            </w:r>
            <w:r w:rsidRPr="00805FF5">
              <w:t xml:space="preserve">denominator size is less than or equal to 75, providers must </w:t>
            </w:r>
            <w:r w:rsidRPr="00805FF5">
              <w:lastRenderedPageBreak/>
              <w:t>report on all cases. No sampling is allowed.</w:t>
            </w:r>
          </w:p>
          <w:p w14:paraId="2FFE4B07" w14:textId="77777777" w:rsidR="0032246B" w:rsidRPr="00805FF5" w:rsidRDefault="0032246B" w:rsidP="0032246B">
            <w:pPr>
              <w:pStyle w:val="NoSpacing"/>
              <w:numPr>
                <w:ilvl w:val="0"/>
                <w:numId w:val="8"/>
              </w:numPr>
            </w:pPr>
            <w:r w:rsidRPr="00805FF5">
              <w:t xml:space="preserve">For a measurement period </w:t>
            </w:r>
            <w:r w:rsidR="003A409E" w:rsidRPr="00805FF5">
              <w:t xml:space="preserve">(either 6 or 12 </w:t>
            </w:r>
            <w:r w:rsidR="0011709A" w:rsidRPr="00805FF5">
              <w:t xml:space="preserve">months) where the </w:t>
            </w:r>
            <w:r w:rsidRPr="00805FF5">
              <w:t xml:space="preserve">denominator size is less than or equal to 380 but greater than 75, providers must report on </w:t>
            </w:r>
            <w:r w:rsidR="003A409E" w:rsidRPr="00805FF5">
              <w:t xml:space="preserve">all cases (preferred, particularly for providers using an electronic health record) or </w:t>
            </w:r>
            <w:r w:rsidRPr="00805FF5">
              <w:t>a random sample of not less than 76 cases.</w:t>
            </w:r>
          </w:p>
          <w:p w14:paraId="2FFE4B08" w14:textId="54144343" w:rsidR="0032246B" w:rsidRPr="00805FF5" w:rsidRDefault="0032246B" w:rsidP="004657CD">
            <w:pPr>
              <w:pStyle w:val="NoSpacing"/>
              <w:numPr>
                <w:ilvl w:val="0"/>
                <w:numId w:val="8"/>
              </w:numPr>
            </w:pPr>
            <w:r w:rsidRPr="00805FF5">
              <w:t xml:space="preserve">For a measurement period </w:t>
            </w:r>
            <w:r w:rsidR="0011709A" w:rsidRPr="00805FF5">
              <w:t>(either 6 or 12-months) where the denominator size</w:t>
            </w:r>
            <w:r w:rsidRPr="00805FF5">
              <w:t xml:space="preserve"> is greater than </w:t>
            </w:r>
            <w:r w:rsidR="004657CD">
              <w:t>380</w:t>
            </w:r>
            <w:r w:rsidRPr="00805FF5">
              <w:t xml:space="preserve">, providers must report on </w:t>
            </w:r>
            <w:r w:rsidR="003A409E" w:rsidRPr="00805FF5">
              <w:t xml:space="preserve">all cases (preferred, particularly for providers using an electronic health record) or </w:t>
            </w:r>
            <w:r w:rsidRPr="00805FF5">
              <w:t xml:space="preserve">a random sample of cases that is not less than 20% of all cases; however, providers may cap the </w:t>
            </w:r>
            <w:r w:rsidR="0011709A" w:rsidRPr="00805FF5">
              <w:t xml:space="preserve">total </w:t>
            </w:r>
            <w:r w:rsidRPr="00805FF5">
              <w:t xml:space="preserve">sample size at 300 cases. </w:t>
            </w:r>
          </w:p>
        </w:tc>
      </w:tr>
      <w:tr w:rsidR="00AC3A97" w:rsidRPr="002C57D0" w14:paraId="2FFE4B0C" w14:textId="77777777" w:rsidTr="005C61BE">
        <w:tc>
          <w:tcPr>
            <w:tcW w:w="2808" w:type="dxa"/>
          </w:tcPr>
          <w:p w14:paraId="2FFE4B0A" w14:textId="77777777" w:rsidR="00AC3A97" w:rsidRPr="002C57D0" w:rsidRDefault="00AC3A97" w:rsidP="00AF103E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768" w:type="dxa"/>
          </w:tcPr>
          <w:p w14:paraId="2FFE4B0B" w14:textId="32B1E846" w:rsidR="00AC3A97" w:rsidRPr="00805FF5" w:rsidRDefault="00246034" w:rsidP="00246034">
            <w:pPr>
              <w:pStyle w:val="NoSpacing"/>
            </w:pPr>
            <w:r w:rsidRPr="0083253A">
              <w:t>Acute ischemic stroke patients for whom IV thrombolytic therapy was initiated at this hospital within 3 hours (less than or equal to 180 minutes) of time last known well.</w:t>
            </w:r>
          </w:p>
        </w:tc>
      </w:tr>
      <w:tr w:rsidR="00787D45" w:rsidRPr="002C57D0" w14:paraId="2FFE4B0F" w14:textId="77777777" w:rsidTr="005C61BE">
        <w:tc>
          <w:tcPr>
            <w:tcW w:w="2808" w:type="dxa"/>
          </w:tcPr>
          <w:p w14:paraId="2FFE4B0D" w14:textId="77777777" w:rsidR="00787D45" w:rsidRPr="002C57D0" w:rsidRDefault="00787D45" w:rsidP="00AF103E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2FFE4B0E" w14:textId="5D9C5418" w:rsidR="00787D45" w:rsidRPr="00805FF5" w:rsidRDefault="00344A5D" w:rsidP="00344A5D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:rsidRPr="002C57D0" w14:paraId="2FFE4B12" w14:textId="77777777" w:rsidTr="005C61BE">
        <w:tc>
          <w:tcPr>
            <w:tcW w:w="2808" w:type="dxa"/>
          </w:tcPr>
          <w:p w14:paraId="2FFE4B10" w14:textId="77777777" w:rsidR="00787D45" w:rsidRPr="002C57D0" w:rsidRDefault="00787D45" w:rsidP="00AF103E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2FFE4B11" w14:textId="51530D43" w:rsidR="00787D45" w:rsidRPr="002C57D0" w:rsidRDefault="00805FF5" w:rsidP="00344A5D">
            <w:pPr>
              <w:pStyle w:val="NoSpacing"/>
            </w:pPr>
            <w:r>
              <w:t xml:space="preserve">The Measure Steward does not identify specific numerator exclusions beyond what is described in the </w:t>
            </w:r>
            <w:r w:rsidR="00344A5D">
              <w:t xml:space="preserve">numerator </w:t>
            </w:r>
            <w:r>
              <w:t>description.</w:t>
            </w:r>
          </w:p>
        </w:tc>
      </w:tr>
      <w:tr w:rsidR="00AD706B" w:rsidRPr="002C57D0" w14:paraId="2FFE4B15" w14:textId="77777777" w:rsidTr="005C61BE">
        <w:tc>
          <w:tcPr>
            <w:tcW w:w="2808" w:type="dxa"/>
          </w:tcPr>
          <w:p w14:paraId="2FFE4B13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2FFE4B14" w14:textId="608D18BA" w:rsidR="00AD706B" w:rsidRPr="002C57D0" w:rsidRDefault="00327754" w:rsidP="007F70E5">
            <w:pPr>
              <w:pStyle w:val="NoSpacing"/>
            </w:pPr>
            <w:r w:rsidRPr="002C57D0">
              <w:t>Inpatient</w:t>
            </w:r>
          </w:p>
        </w:tc>
      </w:tr>
      <w:tr w:rsidR="00AD706B" w:rsidRPr="002C57D0" w14:paraId="2FFE4B18" w14:textId="77777777" w:rsidTr="005C61BE">
        <w:tc>
          <w:tcPr>
            <w:tcW w:w="2808" w:type="dxa"/>
          </w:tcPr>
          <w:p w14:paraId="2FFE4B16" w14:textId="77777777" w:rsidR="00AD706B" w:rsidRPr="002C57D0" w:rsidRDefault="00AD706B" w:rsidP="00A374B8">
            <w:pPr>
              <w:pStyle w:val="NoSpacing"/>
              <w:rPr>
                <w:b/>
              </w:rPr>
            </w:pPr>
            <w:r w:rsidRPr="002C57D0"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2FFE4B17" w14:textId="385973FC" w:rsidR="00AD706B" w:rsidRPr="002C57D0" w:rsidRDefault="00327754" w:rsidP="00327754">
            <w:pPr>
              <w:pStyle w:val="NoSpacing"/>
            </w:pPr>
            <w:r w:rsidRPr="002C57D0">
              <w:rPr>
                <w:rFonts w:cs="Helvetica"/>
                <w:bCs/>
                <w:color w:val="333333"/>
              </w:rPr>
              <w:t>Electronic Clinical Data: Electronic Health Record, Paper Medical Records</w:t>
            </w:r>
            <w:r w:rsidR="00AF3A3D" w:rsidRPr="002C57D0">
              <w:t xml:space="preserve"> </w:t>
            </w:r>
          </w:p>
        </w:tc>
      </w:tr>
      <w:tr w:rsidR="006C4D5F" w:rsidRPr="002C57D0" w14:paraId="2FFE4B37" w14:textId="77777777" w:rsidTr="005C61BE">
        <w:tc>
          <w:tcPr>
            <w:tcW w:w="2808" w:type="dxa"/>
          </w:tcPr>
          <w:p w14:paraId="2FFE4B19" w14:textId="7A30966F" w:rsidR="006C4D5F" w:rsidRPr="002C57D0" w:rsidRDefault="006C4D5F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3181C2BF" w14:textId="77777777" w:rsidR="006C4D5F" w:rsidRDefault="006C4D5F" w:rsidP="00B410EB">
            <w:pPr>
              <w:pStyle w:val="NoSpacing"/>
            </w:pPr>
            <w:r>
              <w:t>All denominator subsets are permissible for this outcome</w:t>
            </w:r>
          </w:p>
          <w:p w14:paraId="2FFE4B36" w14:textId="31DDD534" w:rsidR="006C4D5F" w:rsidRPr="002C57D0" w:rsidRDefault="006C4D5F" w:rsidP="007F7C07">
            <w:pPr>
              <w:pStyle w:val="NoSpacing"/>
            </w:pPr>
            <w:r>
              <w:t> </w:t>
            </w:r>
          </w:p>
        </w:tc>
      </w:tr>
    </w:tbl>
    <w:p w14:paraId="2FFE4B81" w14:textId="77777777" w:rsidR="00356CF4" w:rsidRPr="002C57D0" w:rsidRDefault="00356CF4" w:rsidP="007C7C85">
      <w:pPr>
        <w:pStyle w:val="Heading2"/>
        <w:rPr>
          <w:rFonts w:asciiTheme="minorHAnsi" w:hAnsiTheme="minorHAnsi"/>
          <w:sz w:val="22"/>
          <w:szCs w:val="22"/>
        </w:rPr>
      </w:pPr>
    </w:p>
    <w:sectPr w:rsidR="00356CF4" w:rsidRPr="002C57D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05A5D" w14:textId="77777777" w:rsidR="00FC6984" w:rsidRDefault="00FC6984" w:rsidP="00F63191">
      <w:pPr>
        <w:spacing w:after="0" w:line="240" w:lineRule="auto"/>
      </w:pPr>
      <w:r>
        <w:separator/>
      </w:r>
    </w:p>
  </w:endnote>
  <w:endnote w:type="continuationSeparator" w:id="0">
    <w:p w14:paraId="19CDB1CE" w14:textId="77777777" w:rsidR="00FC6984" w:rsidRDefault="00FC698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F53B" w14:textId="24534425" w:rsidR="00327152" w:rsidRDefault="00327152">
    <w:pPr>
      <w:pStyle w:val="Footer"/>
    </w:pPr>
    <w:r>
      <w:t>09/</w:t>
    </w:r>
    <w:r w:rsidR="009505EE">
      <w:t>24</w:t>
    </w:r>
    <w:r>
      <w:t>/14</w:t>
    </w:r>
  </w:p>
  <w:p w14:paraId="2FFE4B88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B4625" w14:textId="77777777" w:rsidR="00FC6984" w:rsidRDefault="00FC6984" w:rsidP="00F63191">
      <w:pPr>
        <w:spacing w:after="0" w:line="240" w:lineRule="auto"/>
      </w:pPr>
      <w:r>
        <w:separator/>
      </w:r>
    </w:p>
  </w:footnote>
  <w:footnote w:type="continuationSeparator" w:id="0">
    <w:p w14:paraId="58322E14" w14:textId="77777777" w:rsidR="00FC6984" w:rsidRDefault="00FC698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4B86" w14:textId="228D8870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56E"/>
    <w:multiLevelType w:val="hybridMultilevel"/>
    <w:tmpl w:val="88F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514C"/>
    <w:multiLevelType w:val="hybridMultilevel"/>
    <w:tmpl w:val="34A2AA34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60E2B"/>
    <w:multiLevelType w:val="multilevel"/>
    <w:tmpl w:val="7D2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3DC3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46034"/>
    <w:rsid w:val="00271E53"/>
    <w:rsid w:val="00274D35"/>
    <w:rsid w:val="002845C2"/>
    <w:rsid w:val="002B5CF9"/>
    <w:rsid w:val="002C57D0"/>
    <w:rsid w:val="002E14AF"/>
    <w:rsid w:val="0032246B"/>
    <w:rsid w:val="00327152"/>
    <w:rsid w:val="00327754"/>
    <w:rsid w:val="00344A5D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657CD"/>
    <w:rsid w:val="00502BE4"/>
    <w:rsid w:val="00506BC5"/>
    <w:rsid w:val="00536799"/>
    <w:rsid w:val="005802A0"/>
    <w:rsid w:val="005857E6"/>
    <w:rsid w:val="005A1AA2"/>
    <w:rsid w:val="005B79DD"/>
    <w:rsid w:val="005C61BE"/>
    <w:rsid w:val="005C70A1"/>
    <w:rsid w:val="005E15F0"/>
    <w:rsid w:val="005F4D43"/>
    <w:rsid w:val="006C4D5F"/>
    <w:rsid w:val="007164C7"/>
    <w:rsid w:val="00743628"/>
    <w:rsid w:val="00760D27"/>
    <w:rsid w:val="00787D45"/>
    <w:rsid w:val="007C728B"/>
    <w:rsid w:val="007C7C85"/>
    <w:rsid w:val="007E0395"/>
    <w:rsid w:val="007F675B"/>
    <w:rsid w:val="007F70E5"/>
    <w:rsid w:val="007F7C07"/>
    <w:rsid w:val="00805FF5"/>
    <w:rsid w:val="00823868"/>
    <w:rsid w:val="00827557"/>
    <w:rsid w:val="0083253A"/>
    <w:rsid w:val="008722BB"/>
    <w:rsid w:val="008779F5"/>
    <w:rsid w:val="0088642E"/>
    <w:rsid w:val="00886E0E"/>
    <w:rsid w:val="008A5405"/>
    <w:rsid w:val="008D1A8E"/>
    <w:rsid w:val="008F0411"/>
    <w:rsid w:val="008F249E"/>
    <w:rsid w:val="009505EE"/>
    <w:rsid w:val="00965A2A"/>
    <w:rsid w:val="00967948"/>
    <w:rsid w:val="00994A41"/>
    <w:rsid w:val="00996DD5"/>
    <w:rsid w:val="009C6EA3"/>
    <w:rsid w:val="009F04D0"/>
    <w:rsid w:val="009F1AAF"/>
    <w:rsid w:val="009F78A7"/>
    <w:rsid w:val="009F7E66"/>
    <w:rsid w:val="00A11BD9"/>
    <w:rsid w:val="00A55D8F"/>
    <w:rsid w:val="00A82574"/>
    <w:rsid w:val="00A83503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BD63C5"/>
    <w:rsid w:val="00C01E6F"/>
    <w:rsid w:val="00C212AA"/>
    <w:rsid w:val="00C86C48"/>
    <w:rsid w:val="00C9758A"/>
    <w:rsid w:val="00CA2D3E"/>
    <w:rsid w:val="00CA4C08"/>
    <w:rsid w:val="00CB0AC1"/>
    <w:rsid w:val="00CC28BC"/>
    <w:rsid w:val="00CD7069"/>
    <w:rsid w:val="00D1777E"/>
    <w:rsid w:val="00D63CD3"/>
    <w:rsid w:val="00DB7651"/>
    <w:rsid w:val="00DE660A"/>
    <w:rsid w:val="00DF210D"/>
    <w:rsid w:val="00E43145"/>
    <w:rsid w:val="00EB12F3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4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EB12F3"/>
    <w:rPr>
      <w:color w:val="800080" w:themeColor="followedHyperlink"/>
      <w:u w:val="single"/>
    </w:rPr>
  </w:style>
  <w:style w:type="character" w:customStyle="1" w:styleId="qps-blocker-label-text1">
    <w:name w:val="qps-blocker-label-text1"/>
    <w:basedOn w:val="DefaultParagraphFont"/>
    <w:rsid w:val="002C57D0"/>
    <w:rPr>
      <w:b/>
      <w:bCs/>
      <w:i/>
      <w:iCs/>
      <w:color w:val="666666"/>
      <w:sz w:val="21"/>
      <w:szCs w:val="21"/>
    </w:rPr>
  </w:style>
  <w:style w:type="character" w:customStyle="1" w:styleId="qps-blocker-label-detail-text2">
    <w:name w:val="qps-blocker-label-detail-text2"/>
    <w:basedOn w:val="DefaultParagraphFont"/>
    <w:rsid w:val="002C57D0"/>
    <w:rPr>
      <w:b/>
      <w:bCs/>
      <w:color w:val="666666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05FF5"/>
    <w:rPr>
      <w:i/>
      <w:iCs/>
    </w:rPr>
  </w:style>
  <w:style w:type="paragraph" w:styleId="ListParagraph">
    <w:name w:val="List Paragraph"/>
    <w:basedOn w:val="Normal"/>
    <w:uiPriority w:val="34"/>
    <w:qFormat/>
    <w:rsid w:val="0080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EB12F3"/>
    <w:rPr>
      <w:color w:val="800080" w:themeColor="followedHyperlink"/>
      <w:u w:val="single"/>
    </w:rPr>
  </w:style>
  <w:style w:type="character" w:customStyle="1" w:styleId="qps-blocker-label-text1">
    <w:name w:val="qps-blocker-label-text1"/>
    <w:basedOn w:val="DefaultParagraphFont"/>
    <w:rsid w:val="002C57D0"/>
    <w:rPr>
      <w:b/>
      <w:bCs/>
      <w:i/>
      <w:iCs/>
      <w:color w:val="666666"/>
      <w:sz w:val="21"/>
      <w:szCs w:val="21"/>
    </w:rPr>
  </w:style>
  <w:style w:type="character" w:customStyle="1" w:styleId="qps-blocker-label-detail-text2">
    <w:name w:val="qps-blocker-label-detail-text2"/>
    <w:basedOn w:val="DefaultParagraphFont"/>
    <w:rsid w:val="002C57D0"/>
    <w:rPr>
      <w:b/>
      <w:bCs/>
      <w:color w:val="666666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05FF5"/>
    <w:rPr>
      <w:i/>
      <w:iCs/>
    </w:rPr>
  </w:style>
  <w:style w:type="paragraph" w:styleId="ListParagraph">
    <w:name w:val="List Paragraph"/>
    <w:basedOn w:val="Normal"/>
    <w:uiPriority w:val="34"/>
    <w:qFormat/>
    <w:rsid w:val="0080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57">
                  <w:marLeft w:val="0"/>
                  <w:marRight w:val="0"/>
                  <w:marTop w:val="0"/>
                  <w:marBottom w:val="0"/>
                  <w:divBdr>
                    <w:top w:val="single" w:sz="6" w:space="0" w:color="666699"/>
                    <w:left w:val="single" w:sz="6" w:space="0" w:color="666699"/>
                    <w:bottom w:val="single" w:sz="6" w:space="0" w:color="666699"/>
                    <w:right w:val="single" w:sz="6" w:space="0" w:color="666699"/>
                  </w:divBdr>
                  <w:divsChild>
                    <w:div w:id="7076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0426">
                          <w:marLeft w:val="2175"/>
                          <w:marRight w:val="150"/>
                          <w:marTop w:val="0"/>
                          <w:marBottom w:val="0"/>
                          <w:divBdr>
                            <w:top w:val="single" w:sz="6" w:space="0" w:color="000066"/>
                            <w:left w:val="single" w:sz="6" w:space="0" w:color="000066"/>
                            <w:bottom w:val="single" w:sz="6" w:space="0" w:color="000066"/>
                            <w:right w:val="single" w:sz="6" w:space="0" w:color="000066"/>
                          </w:divBdr>
                          <w:divsChild>
                            <w:div w:id="18037647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6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0273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5459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5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43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043A2-7B33-4D4C-AFE3-0D67791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cp:lastPrinted>2014-02-06T20:26:00Z</cp:lastPrinted>
  <dcterms:created xsi:type="dcterms:W3CDTF">2014-09-25T13:46:00Z</dcterms:created>
  <dcterms:modified xsi:type="dcterms:W3CDTF">2014-09-30T14:13:00Z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