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02FA6" w14:textId="75BCD886" w:rsidR="00AD706B" w:rsidRDefault="00AD706B" w:rsidP="00AD706B">
      <w:pPr>
        <w:pStyle w:val="Heading1"/>
      </w:pPr>
      <w:r>
        <w:t>IT-</w:t>
      </w:r>
      <w:r w:rsidR="00A95088">
        <w:t>4.15</w:t>
      </w:r>
      <w:r>
        <w:t xml:space="preserve">:  </w:t>
      </w:r>
      <w:r w:rsidR="008B105F" w:rsidRPr="008B105F">
        <w:t xml:space="preserve">Venous Thromboembolism </w:t>
      </w:r>
      <w:r w:rsidR="008B105F">
        <w:t xml:space="preserve">(VTE) </w:t>
      </w:r>
      <w:r w:rsidR="008B105F" w:rsidRPr="008B105F">
        <w:t>Prophylaxis Bundle</w:t>
      </w:r>
    </w:p>
    <w:tbl>
      <w:tblPr>
        <w:tblStyle w:val="TableGrid"/>
        <w:tblW w:w="0" w:type="auto"/>
        <w:tblLayout w:type="fixed"/>
        <w:tblLook w:val="04A0" w:firstRow="1" w:lastRow="0" w:firstColumn="1" w:lastColumn="0" w:noHBand="0" w:noVBand="1"/>
      </w:tblPr>
      <w:tblGrid>
        <w:gridCol w:w="2628"/>
        <w:gridCol w:w="2340"/>
        <w:gridCol w:w="2250"/>
        <w:gridCol w:w="2358"/>
      </w:tblGrid>
      <w:tr w:rsidR="00AD706B" w14:paraId="1FF02FA9" w14:textId="77777777" w:rsidTr="00800C24">
        <w:trPr>
          <w:tblHeader/>
        </w:trPr>
        <w:tc>
          <w:tcPr>
            <w:tcW w:w="2628" w:type="dxa"/>
            <w:shd w:val="clear" w:color="auto" w:fill="F2F2F2" w:themeFill="background1" w:themeFillShade="F2"/>
          </w:tcPr>
          <w:p w14:paraId="1FF02FA7" w14:textId="77777777" w:rsidR="00AD706B" w:rsidRPr="00717546" w:rsidRDefault="00AD706B" w:rsidP="00A374B8">
            <w:pPr>
              <w:pStyle w:val="NoSpacing"/>
              <w:rPr>
                <w:b/>
              </w:rPr>
            </w:pPr>
            <w:r w:rsidRPr="00717546">
              <w:rPr>
                <w:b/>
              </w:rPr>
              <w:t>Measure Title</w:t>
            </w:r>
          </w:p>
        </w:tc>
        <w:tc>
          <w:tcPr>
            <w:tcW w:w="6948" w:type="dxa"/>
            <w:gridSpan w:val="3"/>
            <w:shd w:val="clear" w:color="auto" w:fill="F2F2F2" w:themeFill="background1" w:themeFillShade="F2"/>
          </w:tcPr>
          <w:p w14:paraId="1FF02FA8" w14:textId="77777777" w:rsidR="00AD706B" w:rsidRPr="008779F5" w:rsidRDefault="0059537A" w:rsidP="00B05CBF">
            <w:pPr>
              <w:pStyle w:val="NoSpacing"/>
              <w:rPr>
                <w:b/>
              </w:rPr>
            </w:pPr>
            <w:r>
              <w:t xml:space="preserve">Venous Thromboembolism </w:t>
            </w:r>
            <w:r w:rsidR="008B105F">
              <w:t>Prophylaxis</w:t>
            </w:r>
            <w:r>
              <w:t xml:space="preserve"> Bundle </w:t>
            </w:r>
          </w:p>
        </w:tc>
      </w:tr>
      <w:tr w:rsidR="00AD706B" w14:paraId="1FF02FB1" w14:textId="77777777" w:rsidTr="00800C24">
        <w:trPr>
          <w:trHeight w:val="8117"/>
        </w:trPr>
        <w:tc>
          <w:tcPr>
            <w:tcW w:w="2628" w:type="dxa"/>
          </w:tcPr>
          <w:p w14:paraId="1FF02FAA" w14:textId="77777777" w:rsidR="00AD706B" w:rsidRPr="00717546" w:rsidRDefault="00AD706B" w:rsidP="00A374B8">
            <w:pPr>
              <w:pStyle w:val="NoSpacing"/>
              <w:rPr>
                <w:b/>
              </w:rPr>
            </w:pPr>
            <w:r w:rsidRPr="00717546">
              <w:rPr>
                <w:b/>
              </w:rPr>
              <w:t>Description</w:t>
            </w:r>
          </w:p>
        </w:tc>
        <w:tc>
          <w:tcPr>
            <w:tcW w:w="6948" w:type="dxa"/>
            <w:gridSpan w:val="3"/>
          </w:tcPr>
          <w:p w14:paraId="1FF02FAB" w14:textId="77777777" w:rsidR="001752ED" w:rsidRDefault="00593D3C" w:rsidP="00593D3C">
            <w:pPr>
              <w:pStyle w:val="NoSpacing"/>
              <w:numPr>
                <w:ilvl w:val="0"/>
                <w:numId w:val="18"/>
              </w:numPr>
            </w:pPr>
            <w:r>
              <w:t xml:space="preserve">VTE- 1: </w:t>
            </w:r>
            <w:r w:rsidR="001752ED">
              <w:t xml:space="preserve">This measure assesses the number of patients who received VTE prophylaxis or have documentation why no </w:t>
            </w:r>
            <w:r w:rsidR="008F6CB0">
              <w:t>venous thromboembolism</w:t>
            </w:r>
            <w:r w:rsidR="008268C1">
              <w:t xml:space="preserve"> (</w:t>
            </w:r>
            <w:r w:rsidR="001752ED">
              <w:t>VTE</w:t>
            </w:r>
            <w:r w:rsidR="008268C1">
              <w:t>)</w:t>
            </w:r>
            <w:r w:rsidR="001752ED">
              <w:t xml:space="preserve"> prophylaxis was given the day of or the day after hospital admission or surgery end date for surgeries that start the day of or the day after hospital admission.</w:t>
            </w:r>
          </w:p>
          <w:p w14:paraId="1FF02FAC" w14:textId="77777777" w:rsidR="001752ED" w:rsidRDefault="00593D3C" w:rsidP="00593D3C">
            <w:pPr>
              <w:pStyle w:val="NoSpacing"/>
              <w:numPr>
                <w:ilvl w:val="0"/>
                <w:numId w:val="18"/>
              </w:numPr>
            </w:pPr>
            <w:r>
              <w:t xml:space="preserve">VTE-2: </w:t>
            </w:r>
            <w:r w:rsidR="001752ED">
              <w:t xml:space="preserve">This measure assesses the number of patients who received venous thromboembolism (VTE) prophylaxis or have documentation why no VTE prophylaxis was given the day of or the day after the initial admission (or transfer) to the Intensive Care Unit (ICU) or surgery end date for surgeries that start the day of or the day after ICU admission (or transfer). </w:t>
            </w:r>
          </w:p>
          <w:p w14:paraId="1FF02FAD" w14:textId="77777777" w:rsidR="001752ED" w:rsidRDefault="00593D3C" w:rsidP="00593D3C">
            <w:pPr>
              <w:pStyle w:val="NoSpacing"/>
              <w:numPr>
                <w:ilvl w:val="0"/>
                <w:numId w:val="18"/>
              </w:numPr>
            </w:pPr>
            <w:r>
              <w:t xml:space="preserve">VTE-3: </w:t>
            </w:r>
            <w:r w:rsidR="001752ED">
              <w:t xml:space="preserve">This measure assesses the number of patients diagnosed with confirmed </w:t>
            </w:r>
            <w:r w:rsidR="00AA5003">
              <w:t>venous thromboembolism</w:t>
            </w:r>
            <w:r w:rsidR="008268C1">
              <w:t xml:space="preserve"> (</w:t>
            </w:r>
            <w:r w:rsidR="001752ED">
              <w:t>VTE</w:t>
            </w:r>
            <w:r w:rsidR="008268C1">
              <w:t>)</w:t>
            </w:r>
            <w:r w:rsidR="001752ED">
              <w:t xml:space="preserve"> who received an overlap of Parenteral (intravenous [IV] or subcutaneous [</w:t>
            </w:r>
            <w:proofErr w:type="spellStart"/>
            <w:r w:rsidR="001752ED">
              <w:t>subcu</w:t>
            </w:r>
            <w:proofErr w:type="spellEnd"/>
            <w:r w:rsidR="001752ED">
              <w:t xml:space="preserve">]) anticoagulation and warfarin therapy. For patients who received less than five days of overlap therapy, they should be discharged on both medications and have a Reason for Discontinuation of Overlap Therapy. Overlap therapy should be administered for at least five days with an international normalized ratio (INR) greater than or equal to 2 prior to discontinuation of the parenteral anticoagulation therapy, or INR less than 2 but discharged on both medications or have a Reason for Discontinuation of Overlap Therapy. </w:t>
            </w:r>
          </w:p>
          <w:p w14:paraId="1FF02FAE" w14:textId="77777777" w:rsidR="001752ED" w:rsidRDefault="00593D3C" w:rsidP="00AA5003">
            <w:pPr>
              <w:pStyle w:val="NoSpacing"/>
              <w:numPr>
                <w:ilvl w:val="0"/>
                <w:numId w:val="18"/>
              </w:numPr>
            </w:pPr>
            <w:r>
              <w:t xml:space="preserve">VTE-4: </w:t>
            </w:r>
            <w:r w:rsidR="001752ED">
              <w:t xml:space="preserve">This measure assesses the number of patients diagnosed with confirmed </w:t>
            </w:r>
            <w:r w:rsidR="00AA5003">
              <w:t>venous thromboembolism</w:t>
            </w:r>
            <w:r w:rsidR="008268C1">
              <w:t xml:space="preserve"> (</w:t>
            </w:r>
            <w:r w:rsidR="001752ED">
              <w:t>VTE</w:t>
            </w:r>
            <w:r w:rsidR="008268C1">
              <w:t>)</w:t>
            </w:r>
            <w:r w:rsidR="001752ED">
              <w:t xml:space="preserve"> who received intravenous (IV) </w:t>
            </w:r>
            <w:r w:rsidR="00AA5003" w:rsidRPr="00AA5003">
              <w:t>unfractionated heparin</w:t>
            </w:r>
            <w:r w:rsidR="00AA5003">
              <w:t xml:space="preserve"> (</w:t>
            </w:r>
            <w:r w:rsidR="001752ED">
              <w:t>UFH</w:t>
            </w:r>
            <w:r w:rsidR="00AA5003">
              <w:t>)</w:t>
            </w:r>
            <w:r w:rsidR="001752ED">
              <w:t xml:space="preserve"> therapy dosages AND had their platelet counts monitored using defined parameters such as a </w:t>
            </w:r>
            <w:proofErr w:type="spellStart"/>
            <w:r w:rsidR="001752ED">
              <w:t>nomogram</w:t>
            </w:r>
            <w:proofErr w:type="spellEnd"/>
            <w:r w:rsidR="001752ED">
              <w:t xml:space="preserve"> or protocol.</w:t>
            </w:r>
          </w:p>
          <w:p w14:paraId="1FF02FAF" w14:textId="68CB95B9" w:rsidR="001752ED" w:rsidRDefault="00593D3C" w:rsidP="00593D3C">
            <w:pPr>
              <w:pStyle w:val="NoSpacing"/>
              <w:numPr>
                <w:ilvl w:val="0"/>
                <w:numId w:val="18"/>
              </w:numPr>
            </w:pPr>
            <w:r>
              <w:t xml:space="preserve">VTE-5: </w:t>
            </w:r>
            <w:r w:rsidR="001752ED">
              <w:t xml:space="preserve">This measure assesses the number of patients diagnosed with confirmed </w:t>
            </w:r>
            <w:r w:rsidR="00AA5003">
              <w:t>venous thromboembolism</w:t>
            </w:r>
            <w:r w:rsidR="008268C1">
              <w:t xml:space="preserve"> (</w:t>
            </w:r>
            <w:r w:rsidR="001752ED">
              <w:t>VTE</w:t>
            </w:r>
            <w:r w:rsidR="008268C1">
              <w:t>)</w:t>
            </w:r>
            <w:r w:rsidR="001752ED">
              <w:t>that are discharged to home, home care, court/law enforcement or home on hospice care on warfarin with written discharge instructions that address all four criteria: compliance issues, dietary advice, follow-up monitoring, and information about the potential for adverse drug reactions/interactions.</w:t>
            </w:r>
          </w:p>
          <w:p w14:paraId="1FF02FB0" w14:textId="77777777" w:rsidR="001752ED" w:rsidRDefault="00593D3C" w:rsidP="00593D3C">
            <w:pPr>
              <w:pStyle w:val="NoSpacing"/>
              <w:numPr>
                <w:ilvl w:val="0"/>
                <w:numId w:val="18"/>
              </w:numPr>
            </w:pPr>
            <w:r>
              <w:t xml:space="preserve">VTE-6: </w:t>
            </w:r>
            <w:r w:rsidR="001752ED">
              <w:t xml:space="preserve">This measure assesses the number of patients diagnosed with confirmed </w:t>
            </w:r>
            <w:r w:rsidR="00AA5003">
              <w:t>venous thromboembolism</w:t>
            </w:r>
            <w:r w:rsidR="008268C1">
              <w:t xml:space="preserve"> (</w:t>
            </w:r>
            <w:r w:rsidR="001752ED">
              <w:t>VTE</w:t>
            </w:r>
            <w:r w:rsidR="008268C1">
              <w:t>)</w:t>
            </w:r>
            <w:r w:rsidR="001752ED">
              <w:t xml:space="preserve"> during hospitalization (not present at admission) who did not receive VTE prophylaxis between hospital admission and the day before the VTE diagnostic testing order date.</w:t>
            </w:r>
          </w:p>
        </w:tc>
      </w:tr>
      <w:tr w:rsidR="00AD706B" w14:paraId="1FF02FB9" w14:textId="77777777" w:rsidTr="00800C24">
        <w:tc>
          <w:tcPr>
            <w:tcW w:w="2628" w:type="dxa"/>
          </w:tcPr>
          <w:p w14:paraId="1FF02FB2" w14:textId="77777777" w:rsidR="00AD706B" w:rsidRPr="00717546" w:rsidRDefault="00AD706B" w:rsidP="00A374B8">
            <w:pPr>
              <w:pStyle w:val="NoSpacing"/>
              <w:rPr>
                <w:b/>
              </w:rPr>
            </w:pPr>
            <w:r w:rsidRPr="00717546">
              <w:rPr>
                <w:b/>
              </w:rPr>
              <w:t>NQF Number</w:t>
            </w:r>
          </w:p>
        </w:tc>
        <w:tc>
          <w:tcPr>
            <w:tcW w:w="6948" w:type="dxa"/>
            <w:gridSpan w:val="3"/>
          </w:tcPr>
          <w:p w14:paraId="1FF02FB3" w14:textId="77777777" w:rsidR="00AD706B" w:rsidRDefault="00593D3C" w:rsidP="00593D3C">
            <w:pPr>
              <w:pStyle w:val="NoSpacing"/>
              <w:numPr>
                <w:ilvl w:val="0"/>
                <w:numId w:val="17"/>
              </w:numPr>
            </w:pPr>
            <w:r>
              <w:t xml:space="preserve">VTE-1: </w:t>
            </w:r>
            <w:r w:rsidR="004C0F43">
              <w:t>0371</w:t>
            </w:r>
          </w:p>
          <w:p w14:paraId="1FF02FB4" w14:textId="77777777" w:rsidR="001752ED" w:rsidRDefault="00593D3C" w:rsidP="00593D3C">
            <w:pPr>
              <w:pStyle w:val="NoSpacing"/>
              <w:numPr>
                <w:ilvl w:val="0"/>
                <w:numId w:val="17"/>
              </w:numPr>
            </w:pPr>
            <w:r>
              <w:t xml:space="preserve">VTE-2: </w:t>
            </w:r>
            <w:r w:rsidR="001752ED">
              <w:t>0372</w:t>
            </w:r>
          </w:p>
          <w:p w14:paraId="1FF02FB5" w14:textId="77777777" w:rsidR="001752ED" w:rsidRDefault="00593D3C" w:rsidP="00593D3C">
            <w:pPr>
              <w:pStyle w:val="NoSpacing"/>
              <w:numPr>
                <w:ilvl w:val="0"/>
                <w:numId w:val="17"/>
              </w:numPr>
            </w:pPr>
            <w:r>
              <w:t xml:space="preserve">VTE-3: </w:t>
            </w:r>
            <w:r w:rsidR="004C0F43">
              <w:t>0373</w:t>
            </w:r>
          </w:p>
          <w:p w14:paraId="1FF02FB6" w14:textId="77777777" w:rsidR="003B5178" w:rsidRDefault="00593D3C" w:rsidP="00593D3C">
            <w:pPr>
              <w:pStyle w:val="NoSpacing"/>
              <w:numPr>
                <w:ilvl w:val="0"/>
                <w:numId w:val="17"/>
              </w:numPr>
            </w:pPr>
            <w:r>
              <w:lastRenderedPageBreak/>
              <w:t xml:space="preserve">VTE-4: </w:t>
            </w:r>
            <w:r w:rsidR="004C0F43">
              <w:t>0374</w:t>
            </w:r>
          </w:p>
          <w:p w14:paraId="1FF02FB7" w14:textId="77777777" w:rsidR="003B5178" w:rsidRDefault="00593D3C" w:rsidP="00593D3C">
            <w:pPr>
              <w:pStyle w:val="NoSpacing"/>
              <w:numPr>
                <w:ilvl w:val="0"/>
                <w:numId w:val="17"/>
              </w:numPr>
            </w:pPr>
            <w:r>
              <w:t xml:space="preserve">VTE- 5: </w:t>
            </w:r>
            <w:r w:rsidR="004C0F43">
              <w:t>0375</w:t>
            </w:r>
          </w:p>
          <w:p w14:paraId="1FF02FB8" w14:textId="77777777" w:rsidR="003B5178" w:rsidRDefault="00593D3C" w:rsidP="00593D3C">
            <w:pPr>
              <w:pStyle w:val="NoSpacing"/>
              <w:numPr>
                <w:ilvl w:val="0"/>
                <w:numId w:val="17"/>
              </w:numPr>
            </w:pPr>
            <w:r>
              <w:t xml:space="preserve">VTE-6: </w:t>
            </w:r>
            <w:r w:rsidR="003B5178">
              <w:t>0376</w:t>
            </w:r>
          </w:p>
        </w:tc>
      </w:tr>
      <w:tr w:rsidR="00AD706B" w14:paraId="1FF02FBC" w14:textId="77777777" w:rsidTr="00800C24">
        <w:tc>
          <w:tcPr>
            <w:tcW w:w="2628" w:type="dxa"/>
          </w:tcPr>
          <w:p w14:paraId="1FF02FBA" w14:textId="77777777" w:rsidR="00AD706B" w:rsidRPr="00717546" w:rsidRDefault="00AD706B" w:rsidP="00A374B8">
            <w:pPr>
              <w:pStyle w:val="NoSpacing"/>
              <w:rPr>
                <w:b/>
              </w:rPr>
            </w:pPr>
            <w:r>
              <w:rPr>
                <w:b/>
              </w:rPr>
              <w:lastRenderedPageBreak/>
              <w:t>Measure Steward</w:t>
            </w:r>
          </w:p>
        </w:tc>
        <w:tc>
          <w:tcPr>
            <w:tcW w:w="6948" w:type="dxa"/>
            <w:gridSpan w:val="3"/>
          </w:tcPr>
          <w:p w14:paraId="1FF02FBB" w14:textId="77777777" w:rsidR="00AD706B" w:rsidRPr="00631E85" w:rsidRDefault="008B105F" w:rsidP="00A374B8">
            <w:pPr>
              <w:pStyle w:val="NoSpacing"/>
            </w:pPr>
            <w:r>
              <w:t xml:space="preserve">The Joint Commission </w:t>
            </w:r>
          </w:p>
        </w:tc>
      </w:tr>
      <w:tr w:rsidR="00AD706B" w14:paraId="1FF02FD0" w14:textId="77777777" w:rsidTr="00800C24">
        <w:tc>
          <w:tcPr>
            <w:tcW w:w="2628" w:type="dxa"/>
          </w:tcPr>
          <w:p w14:paraId="1FF02FBD" w14:textId="77777777" w:rsidR="00AD706B" w:rsidRDefault="00AD706B" w:rsidP="00A374B8">
            <w:pPr>
              <w:pStyle w:val="NoSpacing"/>
              <w:rPr>
                <w:b/>
              </w:rPr>
            </w:pPr>
            <w:r>
              <w:rPr>
                <w:b/>
              </w:rPr>
              <w:t>Link to measure citation</w:t>
            </w:r>
          </w:p>
        </w:tc>
        <w:tc>
          <w:tcPr>
            <w:tcW w:w="6948" w:type="dxa"/>
            <w:gridSpan w:val="3"/>
          </w:tcPr>
          <w:p w14:paraId="1FF02FBE" w14:textId="77777777" w:rsidR="002D0937" w:rsidRDefault="002D0937" w:rsidP="002D0937">
            <w:pPr>
              <w:pStyle w:val="NoSpacing"/>
              <w:numPr>
                <w:ilvl w:val="0"/>
                <w:numId w:val="22"/>
              </w:numPr>
            </w:pPr>
            <w:r>
              <w:t xml:space="preserve">VTE-1: </w:t>
            </w:r>
          </w:p>
          <w:p w14:paraId="1FF02FBF" w14:textId="77777777" w:rsidR="002D0937" w:rsidRPr="002D0937" w:rsidRDefault="00A42454" w:rsidP="002D0937">
            <w:pPr>
              <w:pStyle w:val="NoSpacing"/>
              <w:numPr>
                <w:ilvl w:val="1"/>
                <w:numId w:val="22"/>
              </w:numPr>
              <w:rPr>
                <w:rStyle w:val="Hyperlink"/>
                <w:color w:val="auto"/>
                <w:u w:val="none"/>
              </w:rPr>
            </w:pPr>
            <w:hyperlink r:id="rId12" w:history="1">
              <w:r w:rsidR="00A95088" w:rsidRPr="00B76964">
                <w:rPr>
                  <w:rStyle w:val="Hyperlink"/>
                </w:rPr>
                <w:t>http://www.qualityforum.org/QPS/0371</w:t>
              </w:r>
            </w:hyperlink>
          </w:p>
          <w:p w14:paraId="1FF02FC0" w14:textId="77777777" w:rsidR="002D0937" w:rsidRDefault="00A42454" w:rsidP="002D0937">
            <w:pPr>
              <w:pStyle w:val="NoSpacing"/>
              <w:numPr>
                <w:ilvl w:val="1"/>
                <w:numId w:val="22"/>
              </w:numPr>
            </w:pPr>
            <w:hyperlink r:id="rId13" w:history="1">
              <w:r w:rsidR="002D0937" w:rsidRPr="00A70A61">
                <w:rPr>
                  <w:rStyle w:val="Hyperlink"/>
                </w:rPr>
                <w:t>http://www.qualitymeasures.ahrq.gov/popups/printView.aspx?id=35542</w:t>
              </w:r>
            </w:hyperlink>
            <w:r w:rsidR="002D0937">
              <w:t xml:space="preserve"> </w:t>
            </w:r>
          </w:p>
          <w:p w14:paraId="1FF02FC1" w14:textId="77777777" w:rsidR="002D0937" w:rsidRDefault="002D0937" w:rsidP="002D0937">
            <w:pPr>
              <w:pStyle w:val="NoSpacing"/>
              <w:numPr>
                <w:ilvl w:val="0"/>
                <w:numId w:val="22"/>
              </w:numPr>
            </w:pPr>
            <w:r>
              <w:t xml:space="preserve">VTE-2: </w:t>
            </w:r>
          </w:p>
          <w:p w14:paraId="1FF02FC2" w14:textId="77777777" w:rsidR="002D0937" w:rsidRPr="002D0937" w:rsidRDefault="00A42454" w:rsidP="002D0937">
            <w:pPr>
              <w:pStyle w:val="NoSpacing"/>
              <w:numPr>
                <w:ilvl w:val="1"/>
                <w:numId w:val="22"/>
              </w:numPr>
              <w:rPr>
                <w:rStyle w:val="Hyperlink"/>
                <w:color w:val="auto"/>
                <w:u w:val="none"/>
              </w:rPr>
            </w:pPr>
            <w:hyperlink r:id="rId14" w:history="1">
              <w:r w:rsidR="00A95088" w:rsidRPr="00B76964">
                <w:rPr>
                  <w:rStyle w:val="Hyperlink"/>
                </w:rPr>
                <w:t>http://www.qualityforum.org/QPS/0372</w:t>
              </w:r>
            </w:hyperlink>
          </w:p>
          <w:p w14:paraId="1FF02FC3" w14:textId="77777777" w:rsidR="00A95088" w:rsidRDefault="00A42454" w:rsidP="002D0937">
            <w:pPr>
              <w:pStyle w:val="NoSpacing"/>
              <w:numPr>
                <w:ilvl w:val="1"/>
                <w:numId w:val="22"/>
              </w:numPr>
            </w:pPr>
            <w:hyperlink r:id="rId15" w:history="1">
              <w:r w:rsidR="002D0937" w:rsidRPr="00A70A61">
                <w:rPr>
                  <w:rStyle w:val="Hyperlink"/>
                </w:rPr>
                <w:t>http://www.qualitymeasures.ahrq.gov/popups/printView.aspx?id=35543</w:t>
              </w:r>
            </w:hyperlink>
          </w:p>
          <w:p w14:paraId="1FF02FC4" w14:textId="77777777" w:rsidR="004C0F43" w:rsidRDefault="002D0937" w:rsidP="002D0937">
            <w:pPr>
              <w:pStyle w:val="NoSpacing"/>
              <w:numPr>
                <w:ilvl w:val="0"/>
                <w:numId w:val="22"/>
              </w:numPr>
            </w:pPr>
            <w:r>
              <w:t xml:space="preserve">VTE-3: </w:t>
            </w:r>
          </w:p>
          <w:p w14:paraId="1FF02FC5" w14:textId="77777777" w:rsidR="00A95088" w:rsidRDefault="00A42454" w:rsidP="004C0F43">
            <w:pPr>
              <w:pStyle w:val="NoSpacing"/>
              <w:numPr>
                <w:ilvl w:val="1"/>
                <w:numId w:val="22"/>
              </w:numPr>
            </w:pPr>
            <w:hyperlink r:id="rId16" w:history="1">
              <w:r w:rsidR="00A95088" w:rsidRPr="00B76964">
                <w:rPr>
                  <w:rStyle w:val="Hyperlink"/>
                </w:rPr>
                <w:t>http://www.qualityforum.org/QPS/0373</w:t>
              </w:r>
            </w:hyperlink>
            <w:r w:rsidR="00A95088">
              <w:t xml:space="preserve"> </w:t>
            </w:r>
          </w:p>
          <w:p w14:paraId="1FF02FC6" w14:textId="215A1774" w:rsidR="004C0F43" w:rsidRDefault="00A42454" w:rsidP="004C0F43">
            <w:pPr>
              <w:pStyle w:val="NoSpacing"/>
              <w:numPr>
                <w:ilvl w:val="1"/>
                <w:numId w:val="22"/>
              </w:numPr>
            </w:pPr>
            <w:hyperlink r:id="rId17" w:history="1">
              <w:r w:rsidR="00800C24" w:rsidRPr="00EA7E39">
                <w:rPr>
                  <w:rStyle w:val="Hyperlink"/>
                </w:rPr>
                <w:t>http://www.qualitymeasures.ahrq.gov/popups/printView.aspx?id=35544</w:t>
              </w:r>
            </w:hyperlink>
            <w:r w:rsidR="00800C24">
              <w:t xml:space="preserve"> </w:t>
            </w:r>
          </w:p>
          <w:p w14:paraId="1FF02FC7" w14:textId="77777777" w:rsidR="00F462E2" w:rsidRDefault="002D0937" w:rsidP="002D0937">
            <w:pPr>
              <w:pStyle w:val="NoSpacing"/>
              <w:numPr>
                <w:ilvl w:val="0"/>
                <w:numId w:val="22"/>
              </w:numPr>
            </w:pPr>
            <w:r>
              <w:t xml:space="preserve">VTE-4: </w:t>
            </w:r>
          </w:p>
          <w:p w14:paraId="1FF02FC8" w14:textId="77777777" w:rsidR="00A95088" w:rsidRPr="00F462E2" w:rsidRDefault="00A42454" w:rsidP="00F462E2">
            <w:pPr>
              <w:pStyle w:val="NoSpacing"/>
              <w:numPr>
                <w:ilvl w:val="1"/>
                <w:numId w:val="22"/>
              </w:numPr>
              <w:rPr>
                <w:rStyle w:val="Hyperlink"/>
                <w:color w:val="auto"/>
                <w:u w:val="none"/>
              </w:rPr>
            </w:pPr>
            <w:hyperlink r:id="rId18" w:history="1">
              <w:r w:rsidR="00A95088" w:rsidRPr="00B76964">
                <w:rPr>
                  <w:rStyle w:val="Hyperlink"/>
                </w:rPr>
                <w:t>http://www.qualityforum.org/QPS/0374</w:t>
              </w:r>
            </w:hyperlink>
          </w:p>
          <w:p w14:paraId="1FF02FC9" w14:textId="77777777" w:rsidR="00F462E2" w:rsidRDefault="00A42454" w:rsidP="00F462E2">
            <w:pPr>
              <w:pStyle w:val="NoSpacing"/>
              <w:numPr>
                <w:ilvl w:val="1"/>
                <w:numId w:val="22"/>
              </w:numPr>
            </w:pPr>
            <w:hyperlink r:id="rId19" w:history="1">
              <w:r w:rsidR="00F462E2" w:rsidRPr="00A70A61">
                <w:rPr>
                  <w:rStyle w:val="Hyperlink"/>
                </w:rPr>
                <w:t>http://www.qualitymeasures.ahrq.gov/popups/printView.aspx?id=35545</w:t>
              </w:r>
            </w:hyperlink>
            <w:r w:rsidR="00F462E2">
              <w:t xml:space="preserve"> </w:t>
            </w:r>
          </w:p>
          <w:p w14:paraId="1FF02FCA" w14:textId="77777777" w:rsidR="0099566A" w:rsidRDefault="002D0937" w:rsidP="002D0937">
            <w:pPr>
              <w:pStyle w:val="NoSpacing"/>
              <w:numPr>
                <w:ilvl w:val="0"/>
                <w:numId w:val="22"/>
              </w:numPr>
            </w:pPr>
            <w:r>
              <w:t xml:space="preserve">VTE-5: </w:t>
            </w:r>
          </w:p>
          <w:p w14:paraId="1FF02FCB" w14:textId="77777777" w:rsidR="00A95088" w:rsidRDefault="00A42454" w:rsidP="0099566A">
            <w:pPr>
              <w:pStyle w:val="NoSpacing"/>
              <w:numPr>
                <w:ilvl w:val="1"/>
                <w:numId w:val="22"/>
              </w:numPr>
            </w:pPr>
            <w:hyperlink r:id="rId20" w:history="1">
              <w:r w:rsidR="00A95088" w:rsidRPr="00B76964">
                <w:rPr>
                  <w:rStyle w:val="Hyperlink"/>
                </w:rPr>
                <w:t>http://www.qualityforum.org/QPS/0375</w:t>
              </w:r>
            </w:hyperlink>
            <w:r w:rsidR="00A95088">
              <w:t xml:space="preserve"> </w:t>
            </w:r>
          </w:p>
          <w:p w14:paraId="1FF02FCC" w14:textId="77777777" w:rsidR="0099566A" w:rsidRDefault="00A42454" w:rsidP="0099566A">
            <w:pPr>
              <w:pStyle w:val="NoSpacing"/>
              <w:numPr>
                <w:ilvl w:val="1"/>
                <w:numId w:val="22"/>
              </w:numPr>
            </w:pPr>
            <w:hyperlink r:id="rId21" w:history="1">
              <w:r w:rsidR="0099566A" w:rsidRPr="00A70A61">
                <w:rPr>
                  <w:rStyle w:val="Hyperlink"/>
                </w:rPr>
                <w:t>http://www.qualitymeasures.ahrq.gov/popups/printView.aspx?id=35546</w:t>
              </w:r>
            </w:hyperlink>
            <w:r w:rsidR="0099566A">
              <w:t xml:space="preserve"> </w:t>
            </w:r>
          </w:p>
          <w:p w14:paraId="1FF02FCD" w14:textId="77777777" w:rsidR="001A6012" w:rsidRDefault="002D0937" w:rsidP="002D0937">
            <w:pPr>
              <w:pStyle w:val="NoSpacing"/>
              <w:numPr>
                <w:ilvl w:val="0"/>
                <w:numId w:val="22"/>
              </w:numPr>
            </w:pPr>
            <w:r>
              <w:t xml:space="preserve">VTE-6: </w:t>
            </w:r>
          </w:p>
          <w:p w14:paraId="1FF02FCE" w14:textId="77777777" w:rsidR="0059537A" w:rsidRDefault="00A42454" w:rsidP="001A6012">
            <w:pPr>
              <w:pStyle w:val="NoSpacing"/>
              <w:numPr>
                <w:ilvl w:val="1"/>
                <w:numId w:val="22"/>
              </w:numPr>
            </w:pPr>
            <w:hyperlink r:id="rId22" w:history="1">
              <w:r w:rsidR="00A95088" w:rsidRPr="00B76964">
                <w:rPr>
                  <w:rStyle w:val="Hyperlink"/>
                </w:rPr>
                <w:t>http://www.qualityforum.org/QPS/0376</w:t>
              </w:r>
            </w:hyperlink>
            <w:r w:rsidR="00A95088">
              <w:t xml:space="preserve"> </w:t>
            </w:r>
          </w:p>
          <w:p w14:paraId="0D67541C" w14:textId="77777777" w:rsidR="005D78F1" w:rsidRDefault="00A42454" w:rsidP="005D78F1">
            <w:pPr>
              <w:pStyle w:val="NoSpacing"/>
              <w:numPr>
                <w:ilvl w:val="1"/>
                <w:numId w:val="22"/>
              </w:numPr>
            </w:pPr>
            <w:hyperlink r:id="rId23" w:history="1">
              <w:r w:rsidR="001A6012" w:rsidRPr="00A70A61">
                <w:rPr>
                  <w:rStyle w:val="Hyperlink"/>
                </w:rPr>
                <w:t>http://www.qualitymeasures.ahrq.gov/popups/printView.aspx?id=35547</w:t>
              </w:r>
            </w:hyperlink>
            <w:r w:rsidR="001A6012">
              <w:t xml:space="preserve"> </w:t>
            </w:r>
          </w:p>
          <w:p w14:paraId="1FF02FCF" w14:textId="265B51E3" w:rsidR="005D78F1" w:rsidRPr="00631E85" w:rsidRDefault="005D78F1" w:rsidP="005D78F1">
            <w:pPr>
              <w:pStyle w:val="NoSpacing"/>
              <w:numPr>
                <w:ilvl w:val="0"/>
                <w:numId w:val="22"/>
              </w:numPr>
            </w:pPr>
            <w:r>
              <w:t xml:space="preserve">Specifications Manual: </w:t>
            </w:r>
            <w:hyperlink r:id="rId24" w:history="1">
              <w:r w:rsidRPr="009F55C8">
                <w:rPr>
                  <w:rStyle w:val="Hyperlink"/>
                </w:rPr>
                <w:t>http://www.jointcommission.org/assets/1/6/NHQM_v4_3a_PDF_10_2_2013.zip</w:t>
              </w:r>
            </w:hyperlink>
            <w:r>
              <w:t xml:space="preserve"> </w:t>
            </w:r>
          </w:p>
        </w:tc>
      </w:tr>
      <w:tr w:rsidR="00AD706B" w14:paraId="1FF02FD3" w14:textId="77777777" w:rsidTr="00800C24">
        <w:tc>
          <w:tcPr>
            <w:tcW w:w="2628" w:type="dxa"/>
          </w:tcPr>
          <w:p w14:paraId="1FF02FD1" w14:textId="77777777" w:rsidR="00AD706B" w:rsidRDefault="00AD706B" w:rsidP="00A374B8">
            <w:pPr>
              <w:pStyle w:val="NoSpacing"/>
              <w:rPr>
                <w:b/>
              </w:rPr>
            </w:pPr>
            <w:r>
              <w:rPr>
                <w:b/>
              </w:rPr>
              <w:t>Measure type</w:t>
            </w:r>
          </w:p>
        </w:tc>
        <w:tc>
          <w:tcPr>
            <w:tcW w:w="6948" w:type="dxa"/>
            <w:gridSpan w:val="3"/>
          </w:tcPr>
          <w:p w14:paraId="1FF02FD2" w14:textId="545D2391" w:rsidR="00AD706B" w:rsidRDefault="00800C24" w:rsidP="00AD706B">
            <w:pPr>
              <w:pStyle w:val="NoSpacing"/>
            </w:pPr>
            <w:r>
              <w:t>Stand-Alone (</w:t>
            </w:r>
            <w:r w:rsidR="008B105F">
              <w:t>SA</w:t>
            </w:r>
            <w:r>
              <w:t>)</w:t>
            </w:r>
          </w:p>
        </w:tc>
      </w:tr>
      <w:tr w:rsidR="00AD706B" w14:paraId="1FF02FD6" w14:textId="77777777" w:rsidTr="00800C24">
        <w:tc>
          <w:tcPr>
            <w:tcW w:w="2628" w:type="dxa"/>
          </w:tcPr>
          <w:p w14:paraId="1FF02FD4" w14:textId="77777777" w:rsidR="00AD706B" w:rsidRDefault="00AD706B" w:rsidP="00A374B8">
            <w:pPr>
              <w:pStyle w:val="NoSpacing"/>
              <w:rPr>
                <w:b/>
              </w:rPr>
            </w:pPr>
            <w:r>
              <w:rPr>
                <w:b/>
              </w:rPr>
              <w:t>Measure status</w:t>
            </w:r>
          </w:p>
        </w:tc>
        <w:tc>
          <w:tcPr>
            <w:tcW w:w="6948" w:type="dxa"/>
            <w:gridSpan w:val="3"/>
          </w:tcPr>
          <w:p w14:paraId="59AD286D" w14:textId="77777777" w:rsidR="00AD706B" w:rsidRDefault="00800C24" w:rsidP="00967948">
            <w:pPr>
              <w:pStyle w:val="NoSpacing"/>
            </w:pPr>
            <w:r>
              <w:t>P4P</w:t>
            </w:r>
          </w:p>
          <w:p w14:paraId="1FF02FD5" w14:textId="62F4BA95" w:rsidR="005C1BF2" w:rsidRDefault="005C1BF2" w:rsidP="00967948">
            <w:pPr>
              <w:pStyle w:val="NoSpacing"/>
            </w:pPr>
            <w:r>
              <w:t xml:space="preserve">*Use of this measure requires reporting on each of the six components of the bundle as described. </w:t>
            </w:r>
          </w:p>
        </w:tc>
      </w:tr>
      <w:tr w:rsidR="00AD706B" w14:paraId="1FF02FDA" w14:textId="77777777" w:rsidTr="00800C24">
        <w:tc>
          <w:tcPr>
            <w:tcW w:w="2628" w:type="dxa"/>
          </w:tcPr>
          <w:p w14:paraId="1FF02FD7" w14:textId="77777777" w:rsidR="00AD706B" w:rsidRPr="00717546" w:rsidRDefault="00AD706B" w:rsidP="00A374B8">
            <w:pPr>
              <w:pStyle w:val="NoSpacing"/>
              <w:rPr>
                <w:b/>
              </w:rPr>
            </w:pPr>
            <w:r>
              <w:rPr>
                <w:b/>
              </w:rPr>
              <w:t>DSRIP-specific modifications to Measure Steward’s specification</w:t>
            </w:r>
          </w:p>
        </w:tc>
        <w:tc>
          <w:tcPr>
            <w:tcW w:w="6948" w:type="dxa"/>
            <w:gridSpan w:val="3"/>
          </w:tcPr>
          <w:p w14:paraId="1FF02FD8" w14:textId="77777777" w:rsidR="009F78A7" w:rsidRDefault="009F78A7" w:rsidP="009F78A7">
            <w:pPr>
              <w:pStyle w:val="NoSpacing"/>
            </w:pPr>
            <w:r>
              <w:t>The Measure Steward’s specification has been modified as follows:</w:t>
            </w:r>
          </w:p>
          <w:p w14:paraId="1FF02FD9" w14:textId="77777777" w:rsidR="009F78A7" w:rsidRDefault="0059537A" w:rsidP="0059537A">
            <w:pPr>
              <w:pStyle w:val="NoSpacing"/>
              <w:numPr>
                <w:ilvl w:val="0"/>
                <w:numId w:val="9"/>
              </w:numPr>
            </w:pPr>
            <w:r w:rsidRPr="0059537A">
              <w:t>Created as a bundle to reflect clinical practice as it relates to VTE prophylaxis</w:t>
            </w:r>
          </w:p>
        </w:tc>
      </w:tr>
      <w:tr w:rsidR="00AD706B" w14:paraId="1FF02FE2" w14:textId="77777777" w:rsidTr="00800C24">
        <w:tc>
          <w:tcPr>
            <w:tcW w:w="2628" w:type="dxa"/>
          </w:tcPr>
          <w:p w14:paraId="1FF02FDB" w14:textId="77777777" w:rsidR="00AD706B" w:rsidRPr="00717546" w:rsidRDefault="00AD706B" w:rsidP="001D6BEA">
            <w:pPr>
              <w:pStyle w:val="NoSpacing"/>
              <w:rPr>
                <w:b/>
              </w:rPr>
            </w:pPr>
            <w:r w:rsidRPr="00717546">
              <w:rPr>
                <w:b/>
              </w:rPr>
              <w:t>Denominator</w:t>
            </w:r>
            <w:r w:rsidR="00C01E6F">
              <w:rPr>
                <w:b/>
              </w:rPr>
              <w:t xml:space="preserve"> </w:t>
            </w:r>
            <w:r w:rsidR="00B05CBF">
              <w:rPr>
                <w:b/>
              </w:rPr>
              <w:t>Description</w:t>
            </w:r>
            <w:r w:rsidR="00C01E6F">
              <w:rPr>
                <w:b/>
              </w:rPr>
              <w:t xml:space="preserve"> </w:t>
            </w:r>
          </w:p>
        </w:tc>
        <w:tc>
          <w:tcPr>
            <w:tcW w:w="6948" w:type="dxa"/>
            <w:gridSpan w:val="3"/>
          </w:tcPr>
          <w:p w14:paraId="1FF02FDC" w14:textId="77777777" w:rsidR="003B5178" w:rsidRPr="00A42454" w:rsidRDefault="00593D3C" w:rsidP="00593D3C">
            <w:pPr>
              <w:pStyle w:val="NoSpacing"/>
              <w:numPr>
                <w:ilvl w:val="0"/>
                <w:numId w:val="9"/>
              </w:numPr>
            </w:pPr>
            <w:r>
              <w:t xml:space="preserve">VTE-1: </w:t>
            </w:r>
            <w:r w:rsidR="003B5178" w:rsidRPr="00A42454">
              <w:t>All patients</w:t>
            </w:r>
          </w:p>
          <w:p w14:paraId="1FF02FDD" w14:textId="77777777" w:rsidR="003B5178" w:rsidRDefault="00593D3C" w:rsidP="00593D3C">
            <w:pPr>
              <w:pStyle w:val="NoSpacing"/>
              <w:numPr>
                <w:ilvl w:val="0"/>
                <w:numId w:val="9"/>
              </w:numPr>
            </w:pPr>
            <w:r>
              <w:t xml:space="preserve">VTE-2: </w:t>
            </w:r>
            <w:r w:rsidR="003B5178">
              <w:t xml:space="preserve">Patients directly admitted or transferred to </w:t>
            </w:r>
            <w:r w:rsidR="00AA5003">
              <w:t>intensive care unit (</w:t>
            </w:r>
            <w:r w:rsidR="003B5178">
              <w:t>ICU</w:t>
            </w:r>
            <w:r w:rsidR="00AA5003">
              <w:t>)</w:t>
            </w:r>
          </w:p>
          <w:p w14:paraId="1FF02FDE" w14:textId="653BBC96" w:rsidR="00455A4D" w:rsidRDefault="00593D3C" w:rsidP="00593D3C">
            <w:pPr>
              <w:pStyle w:val="NoSpacing"/>
              <w:numPr>
                <w:ilvl w:val="0"/>
                <w:numId w:val="9"/>
              </w:numPr>
            </w:pPr>
            <w:r>
              <w:t xml:space="preserve">VTE-3: </w:t>
            </w:r>
            <w:r w:rsidR="003B5178">
              <w:t xml:space="preserve">Patients with confirmed </w:t>
            </w:r>
            <w:r w:rsidR="00AA5003">
              <w:t>venous thromboembolism</w:t>
            </w:r>
            <w:r w:rsidR="008268C1">
              <w:t xml:space="preserve"> (</w:t>
            </w:r>
            <w:r w:rsidR="003B5178">
              <w:t>VTE</w:t>
            </w:r>
            <w:proofErr w:type="gramStart"/>
            <w:r w:rsidR="008268C1">
              <w:t>)</w:t>
            </w:r>
            <w:r w:rsidR="003B5178">
              <w:t>who</w:t>
            </w:r>
            <w:proofErr w:type="gramEnd"/>
            <w:r w:rsidR="003B5178">
              <w:t xml:space="preserve"> received warfarin. </w:t>
            </w:r>
          </w:p>
          <w:p w14:paraId="1FF02FDF" w14:textId="3FBEB34A" w:rsidR="008F6CB0" w:rsidRDefault="00593D3C" w:rsidP="00593D3C">
            <w:pPr>
              <w:pStyle w:val="NoSpacing"/>
              <w:numPr>
                <w:ilvl w:val="0"/>
                <w:numId w:val="9"/>
              </w:numPr>
            </w:pPr>
            <w:r>
              <w:t xml:space="preserve">VTE-4: </w:t>
            </w:r>
            <w:r w:rsidR="003B5178">
              <w:t xml:space="preserve">Patients with confirmed </w:t>
            </w:r>
            <w:r w:rsidR="00AA5003">
              <w:t>venous thromboembolism</w:t>
            </w:r>
            <w:r w:rsidR="008268C1">
              <w:t xml:space="preserve"> (</w:t>
            </w:r>
            <w:r w:rsidR="003B5178">
              <w:t>VTE</w:t>
            </w:r>
            <w:proofErr w:type="gramStart"/>
            <w:r w:rsidR="008268C1">
              <w:t>)</w:t>
            </w:r>
            <w:r w:rsidR="003B5178">
              <w:t>receiving</w:t>
            </w:r>
            <w:proofErr w:type="gramEnd"/>
            <w:r w:rsidR="003B5178">
              <w:t xml:space="preserve"> </w:t>
            </w:r>
            <w:r w:rsidR="00AA5003">
              <w:t>intravenous (</w:t>
            </w:r>
            <w:r w:rsidR="003B5178">
              <w:t>IV</w:t>
            </w:r>
            <w:r w:rsidR="00AA5003">
              <w:t>)</w:t>
            </w:r>
            <w:r w:rsidR="003B5178">
              <w:t xml:space="preserve"> </w:t>
            </w:r>
            <w:r w:rsidR="00AA5003">
              <w:t>unfractionated heparin (</w:t>
            </w:r>
            <w:r w:rsidR="003B5178">
              <w:t>UFH</w:t>
            </w:r>
            <w:r w:rsidR="00AA5003">
              <w:t>)</w:t>
            </w:r>
            <w:r w:rsidR="003B5178">
              <w:t xml:space="preserve"> therapy.  </w:t>
            </w:r>
          </w:p>
          <w:p w14:paraId="1FF02FE0" w14:textId="11F0EDD6" w:rsidR="003B5178" w:rsidRDefault="00593D3C" w:rsidP="00593D3C">
            <w:pPr>
              <w:pStyle w:val="NoSpacing"/>
              <w:numPr>
                <w:ilvl w:val="0"/>
                <w:numId w:val="9"/>
              </w:numPr>
            </w:pPr>
            <w:r>
              <w:lastRenderedPageBreak/>
              <w:t xml:space="preserve">VTE-5: </w:t>
            </w:r>
            <w:r w:rsidR="003B5178">
              <w:t xml:space="preserve">Patients with confirmed </w:t>
            </w:r>
            <w:r w:rsidR="00AA5003">
              <w:t>venous thromboembolism</w:t>
            </w:r>
            <w:r w:rsidR="008268C1">
              <w:t xml:space="preserve"> (</w:t>
            </w:r>
            <w:r w:rsidR="003B5178">
              <w:t>VTE</w:t>
            </w:r>
            <w:r w:rsidR="008268C1">
              <w:t>)</w:t>
            </w:r>
            <w:r w:rsidR="00AA5003">
              <w:t xml:space="preserve"> </w:t>
            </w:r>
            <w:r w:rsidR="003B5178">
              <w:t>discharged on warfarin therapy</w:t>
            </w:r>
          </w:p>
          <w:p w14:paraId="13100F10" w14:textId="77777777" w:rsidR="005D78F1" w:rsidRDefault="00593D3C" w:rsidP="005D78F1">
            <w:pPr>
              <w:pStyle w:val="NoSpacing"/>
              <w:numPr>
                <w:ilvl w:val="0"/>
                <w:numId w:val="9"/>
              </w:numPr>
            </w:pPr>
            <w:r>
              <w:t xml:space="preserve">VTE-6: </w:t>
            </w:r>
            <w:bookmarkStart w:id="0" w:name="_GoBack"/>
            <w:r w:rsidR="003B5178">
              <w:t xml:space="preserve">Patients who developed confirmed </w:t>
            </w:r>
            <w:r w:rsidR="00AA5003">
              <w:t>venous thromboembolism</w:t>
            </w:r>
            <w:r w:rsidR="008268C1">
              <w:t xml:space="preserve"> (</w:t>
            </w:r>
            <w:r w:rsidR="003B5178">
              <w:t>VTE</w:t>
            </w:r>
            <w:r w:rsidR="008268C1">
              <w:t>)</w:t>
            </w:r>
            <w:r w:rsidR="003B5178">
              <w:t xml:space="preserve"> during hospitalization.  Discharges with an ICD-9-CM Other Diagnosis Codes of VTE as defined in Appendix A, Table 7.03 or 7.04</w:t>
            </w:r>
            <w:bookmarkEnd w:id="0"/>
            <w:r w:rsidR="00800C24">
              <w:t xml:space="preserve">. </w:t>
            </w:r>
            <w:r w:rsidR="005D78F1">
              <w:br/>
            </w:r>
          </w:p>
          <w:p w14:paraId="1FF02FE1" w14:textId="3B82709F" w:rsidR="00AD706B" w:rsidRPr="009F7E66" w:rsidRDefault="00800C24" w:rsidP="00B86EC4">
            <w:pPr>
              <w:pStyle w:val="NoSpacing"/>
            </w:pPr>
            <w:r>
              <w:t xml:space="preserve">Refer to </w:t>
            </w:r>
            <w:r w:rsidR="005D78F1">
              <w:t>Specifications Manual</w:t>
            </w:r>
            <w:r>
              <w:t xml:space="preserve"> hyperlink above for detailed tables. </w:t>
            </w:r>
          </w:p>
        </w:tc>
      </w:tr>
      <w:tr w:rsidR="00B05CBF" w14:paraId="1FF02FF3" w14:textId="77777777" w:rsidTr="00800C24">
        <w:trPr>
          <w:trHeight w:val="332"/>
        </w:trPr>
        <w:tc>
          <w:tcPr>
            <w:tcW w:w="2628" w:type="dxa"/>
          </w:tcPr>
          <w:p w14:paraId="1FF02FE3" w14:textId="77777777" w:rsidR="00B05CBF" w:rsidRPr="00717546" w:rsidRDefault="00B05CBF" w:rsidP="00C01E6F">
            <w:pPr>
              <w:pStyle w:val="NoSpacing"/>
              <w:rPr>
                <w:b/>
              </w:rPr>
            </w:pPr>
            <w:r>
              <w:rPr>
                <w:b/>
              </w:rPr>
              <w:lastRenderedPageBreak/>
              <w:t>Denominator Inclusions</w:t>
            </w:r>
          </w:p>
        </w:tc>
        <w:tc>
          <w:tcPr>
            <w:tcW w:w="6948" w:type="dxa"/>
            <w:gridSpan w:val="3"/>
          </w:tcPr>
          <w:p w14:paraId="1FF02FE4" w14:textId="5F3FA68E" w:rsidR="00B05CBF" w:rsidRPr="00593D3C" w:rsidRDefault="00593D3C" w:rsidP="00593D3C">
            <w:pPr>
              <w:pStyle w:val="NoSpacing"/>
              <w:numPr>
                <w:ilvl w:val="0"/>
                <w:numId w:val="16"/>
              </w:numPr>
              <w:rPr>
                <w:b/>
              </w:rPr>
            </w:pPr>
            <w:r>
              <w:t xml:space="preserve">VTE-1: </w:t>
            </w:r>
            <w:r w:rsidR="00800C24">
              <w:t xml:space="preserve"> The Measure Steward does not identify specific denominator inclusions beyond what is described in the numerator description</w:t>
            </w:r>
          </w:p>
          <w:p w14:paraId="1FF02FE5" w14:textId="25725EC2" w:rsidR="00593D3C" w:rsidRPr="00593D3C" w:rsidRDefault="00593D3C" w:rsidP="00593D3C">
            <w:pPr>
              <w:pStyle w:val="NoSpacing"/>
              <w:numPr>
                <w:ilvl w:val="0"/>
                <w:numId w:val="16"/>
              </w:numPr>
              <w:rPr>
                <w:b/>
              </w:rPr>
            </w:pPr>
            <w:r>
              <w:t xml:space="preserve">VTE-2: </w:t>
            </w:r>
            <w:r w:rsidR="00800C24" w:rsidRPr="00800C24">
              <w:t xml:space="preserve"> The Measure Steward does not identify specific </w:t>
            </w:r>
            <w:r w:rsidR="00800C24">
              <w:t>denominator</w:t>
            </w:r>
            <w:r w:rsidR="00800C24" w:rsidRPr="00800C24">
              <w:t xml:space="preserve"> </w:t>
            </w:r>
            <w:r w:rsidR="00800C24">
              <w:t>in</w:t>
            </w:r>
            <w:r w:rsidR="00800C24" w:rsidRPr="00800C24">
              <w:t>clusions beyond what is described in the numerator description</w:t>
            </w:r>
          </w:p>
          <w:p w14:paraId="1FF02FE6" w14:textId="77777777" w:rsidR="00F462E2" w:rsidRPr="00F462E2" w:rsidRDefault="00593D3C" w:rsidP="00455A4D">
            <w:pPr>
              <w:pStyle w:val="NoSpacing"/>
              <w:numPr>
                <w:ilvl w:val="0"/>
                <w:numId w:val="16"/>
              </w:numPr>
              <w:rPr>
                <w:b/>
              </w:rPr>
            </w:pPr>
            <w:r>
              <w:t xml:space="preserve">VTE-3: </w:t>
            </w:r>
          </w:p>
          <w:p w14:paraId="1FF02FE7" w14:textId="77777777" w:rsidR="00F462E2" w:rsidRPr="00F462E2" w:rsidRDefault="00F462E2" w:rsidP="00F462E2">
            <w:pPr>
              <w:pStyle w:val="NoSpacing"/>
              <w:numPr>
                <w:ilvl w:val="1"/>
                <w:numId w:val="16"/>
              </w:numPr>
              <w:rPr>
                <w:b/>
              </w:rPr>
            </w:pPr>
            <w:r>
              <w:t xml:space="preserve">Patients with confirmed venous thromboembolism (VTE) who received warfarin. </w:t>
            </w:r>
          </w:p>
          <w:p w14:paraId="1FF02FE8" w14:textId="202988BD" w:rsidR="0099566A" w:rsidRPr="0099566A" w:rsidRDefault="00455A4D" w:rsidP="0099566A">
            <w:pPr>
              <w:pStyle w:val="NoSpacing"/>
              <w:numPr>
                <w:ilvl w:val="1"/>
                <w:numId w:val="16"/>
              </w:numPr>
              <w:rPr>
                <w:b/>
              </w:rPr>
            </w:pPr>
            <w:r w:rsidRPr="00455A4D">
              <w:rPr>
                <w:sz w:val="23"/>
                <w:szCs w:val="23"/>
              </w:rPr>
              <w:t xml:space="preserve">Discharges with an </w:t>
            </w:r>
            <w:r w:rsidRPr="00455A4D">
              <w:rPr>
                <w:iCs/>
                <w:sz w:val="23"/>
                <w:szCs w:val="23"/>
              </w:rPr>
              <w:t xml:space="preserve">ICD-9-CM Principal or Other Diagnosis Codes </w:t>
            </w:r>
            <w:r w:rsidRPr="00455A4D">
              <w:rPr>
                <w:sz w:val="23"/>
                <w:szCs w:val="23"/>
              </w:rPr>
              <w:t xml:space="preserve">of </w:t>
            </w:r>
            <w:r w:rsidR="00AA5003">
              <w:t>venous thromboembolism</w:t>
            </w:r>
            <w:r w:rsidR="008268C1">
              <w:t xml:space="preserve"> (</w:t>
            </w:r>
            <w:r w:rsidRPr="00455A4D">
              <w:rPr>
                <w:sz w:val="23"/>
                <w:szCs w:val="23"/>
              </w:rPr>
              <w:t>VTE</w:t>
            </w:r>
            <w:r w:rsidR="008268C1">
              <w:rPr>
                <w:sz w:val="23"/>
                <w:szCs w:val="23"/>
              </w:rPr>
              <w:t>)</w:t>
            </w:r>
            <w:r w:rsidRPr="00455A4D">
              <w:rPr>
                <w:sz w:val="23"/>
                <w:szCs w:val="23"/>
              </w:rPr>
              <w:t xml:space="preserve"> as defined in Appendix A, Table 7.03 or 7.04</w:t>
            </w:r>
          </w:p>
          <w:p w14:paraId="1FF02FE9" w14:textId="77777777" w:rsidR="0099566A" w:rsidRDefault="00455A4D" w:rsidP="0099566A">
            <w:pPr>
              <w:pStyle w:val="NoSpacing"/>
              <w:numPr>
                <w:ilvl w:val="0"/>
                <w:numId w:val="16"/>
              </w:numPr>
              <w:rPr>
                <w:b/>
              </w:rPr>
            </w:pPr>
            <w:r>
              <w:t>VTE-</w:t>
            </w:r>
            <w:r w:rsidRPr="008F6CB0">
              <w:t>4</w:t>
            </w:r>
            <w:r w:rsidRPr="0099566A">
              <w:rPr>
                <w:b/>
              </w:rPr>
              <w:t xml:space="preserve">: </w:t>
            </w:r>
          </w:p>
          <w:p w14:paraId="1FF02FEA" w14:textId="77777777" w:rsidR="0099566A" w:rsidRPr="0099566A" w:rsidRDefault="0099566A" w:rsidP="00813E6D">
            <w:pPr>
              <w:pStyle w:val="NoSpacing"/>
              <w:numPr>
                <w:ilvl w:val="0"/>
                <w:numId w:val="25"/>
              </w:numPr>
              <w:ind w:left="1512"/>
              <w:rPr>
                <w:b/>
              </w:rPr>
            </w:pPr>
            <w:r>
              <w:t>Patients with confirmed venous thromboembolism (VTE) receiving intravenous (IV) unfractionated heparin (UFH) therapy</w:t>
            </w:r>
          </w:p>
          <w:p w14:paraId="1FF02FEB" w14:textId="489A7FF7" w:rsidR="00455A4D" w:rsidRDefault="00455A4D" w:rsidP="00813E6D">
            <w:pPr>
              <w:pStyle w:val="NoSpacing"/>
              <w:numPr>
                <w:ilvl w:val="0"/>
                <w:numId w:val="25"/>
              </w:numPr>
              <w:ind w:left="1512"/>
            </w:pPr>
            <w:r>
              <w:t xml:space="preserve">ICD-9-CM Principal or Other Diagnosis Codes of </w:t>
            </w:r>
            <w:r w:rsidR="00AA5003">
              <w:t>venous thromboembolism</w:t>
            </w:r>
            <w:r w:rsidR="008268C1">
              <w:t xml:space="preserve"> (</w:t>
            </w:r>
            <w:r>
              <w:t>VTE</w:t>
            </w:r>
            <w:r w:rsidR="008268C1">
              <w:t>)</w:t>
            </w:r>
            <w:r>
              <w:t xml:space="preserve"> as defined in Appendix A, Table 7.03 or 7.04</w:t>
            </w:r>
          </w:p>
          <w:p w14:paraId="1FF02FEC" w14:textId="77777777" w:rsidR="008F6CB0" w:rsidRDefault="008F6CB0" w:rsidP="008F6CB0">
            <w:pPr>
              <w:pStyle w:val="NoSpacing"/>
              <w:numPr>
                <w:ilvl w:val="0"/>
                <w:numId w:val="16"/>
              </w:numPr>
            </w:pPr>
            <w:r>
              <w:t xml:space="preserve">VTE-5: </w:t>
            </w:r>
            <w:r w:rsidR="0099566A">
              <w:t>Patients with confirmed venous thromboembolism (VTE) discharged on warfarin therapy</w:t>
            </w:r>
          </w:p>
          <w:p w14:paraId="1FF02FED" w14:textId="3D56089D" w:rsidR="008F6CB0" w:rsidRDefault="008F6CB0" w:rsidP="008F6CB0">
            <w:pPr>
              <w:pStyle w:val="NoSpacing"/>
              <w:numPr>
                <w:ilvl w:val="1"/>
                <w:numId w:val="16"/>
              </w:numPr>
            </w:pPr>
            <w:r>
              <w:t xml:space="preserve">Discharges with an ICD-9-CM Principal or Other Diagnosis Codes of </w:t>
            </w:r>
            <w:r w:rsidR="00AA5003">
              <w:t>venous thromboembolism</w:t>
            </w:r>
            <w:r w:rsidR="008268C1">
              <w:t xml:space="preserve"> (</w:t>
            </w:r>
            <w:r>
              <w:t>VTE</w:t>
            </w:r>
            <w:r w:rsidR="008268C1">
              <w:t>)</w:t>
            </w:r>
            <w:r>
              <w:t xml:space="preserve"> as defined in Appendix A, Table 7.03 or 7.04</w:t>
            </w:r>
          </w:p>
          <w:p w14:paraId="1FF02FEE" w14:textId="77777777" w:rsidR="008F6CB0" w:rsidRDefault="008F6CB0" w:rsidP="008F6CB0">
            <w:pPr>
              <w:pStyle w:val="NoSpacing"/>
              <w:numPr>
                <w:ilvl w:val="1"/>
                <w:numId w:val="16"/>
              </w:numPr>
            </w:pPr>
            <w:r>
              <w:t>Discharged to home, home care or court/law enforcement</w:t>
            </w:r>
          </w:p>
          <w:p w14:paraId="1FF02FEF" w14:textId="77777777" w:rsidR="00455A4D" w:rsidRPr="00AA5003" w:rsidRDefault="008F6CB0" w:rsidP="008F6CB0">
            <w:pPr>
              <w:pStyle w:val="NoSpacing"/>
              <w:numPr>
                <w:ilvl w:val="1"/>
                <w:numId w:val="16"/>
              </w:numPr>
              <w:rPr>
                <w:b/>
              </w:rPr>
            </w:pPr>
            <w:r>
              <w:t>Discharged to home for hospice care</w:t>
            </w:r>
          </w:p>
          <w:p w14:paraId="1FF02FF0" w14:textId="77777777" w:rsidR="001A6012" w:rsidRPr="001A6012" w:rsidRDefault="00AA5003" w:rsidP="00AA5003">
            <w:pPr>
              <w:pStyle w:val="NoSpacing"/>
              <w:numPr>
                <w:ilvl w:val="0"/>
                <w:numId w:val="16"/>
              </w:numPr>
              <w:rPr>
                <w:b/>
              </w:rPr>
            </w:pPr>
            <w:r>
              <w:t xml:space="preserve">VTE-6: </w:t>
            </w:r>
          </w:p>
          <w:p w14:paraId="1FF02FF1" w14:textId="77777777" w:rsidR="001A6012" w:rsidRPr="001A6012" w:rsidRDefault="001A6012" w:rsidP="001A6012">
            <w:pPr>
              <w:pStyle w:val="NoSpacing"/>
              <w:numPr>
                <w:ilvl w:val="1"/>
                <w:numId w:val="16"/>
              </w:numPr>
            </w:pPr>
            <w:r w:rsidRPr="001A6012">
              <w:t>Patients who</w:t>
            </w:r>
            <w:r>
              <w:t xml:space="preserve"> developed confirmed venous thromboembolism (VTE) during hospitalization </w:t>
            </w:r>
          </w:p>
          <w:p w14:paraId="5816FBC9" w14:textId="23FE86E3" w:rsidR="005D78F1" w:rsidRPr="00813E6D" w:rsidRDefault="00AA5003" w:rsidP="00813E6D">
            <w:pPr>
              <w:pStyle w:val="NoSpacing"/>
              <w:numPr>
                <w:ilvl w:val="1"/>
                <w:numId w:val="16"/>
              </w:numPr>
              <w:rPr>
                <w:b/>
              </w:rPr>
            </w:pPr>
            <w:r w:rsidRPr="00AA5003">
              <w:t xml:space="preserve">Discharges with an ICD-9-CM Other Diagnosis Codes of </w:t>
            </w:r>
            <w:r>
              <w:t>venous thromboembolism</w:t>
            </w:r>
            <w:r w:rsidR="008268C1">
              <w:t xml:space="preserve"> (</w:t>
            </w:r>
            <w:r w:rsidRPr="00AA5003">
              <w:t>VTE</w:t>
            </w:r>
            <w:r w:rsidR="008268C1">
              <w:t>)</w:t>
            </w:r>
            <w:r w:rsidRPr="00AA5003">
              <w:t xml:space="preserve"> as defined in Appendix A, Table 7.03 or 7.04</w:t>
            </w:r>
            <w:r w:rsidR="00800C24" w:rsidRPr="00800C24">
              <w:t xml:space="preserve"> </w:t>
            </w:r>
            <w:r w:rsidR="005D78F1">
              <w:rPr>
                <w:b/>
              </w:rPr>
              <w:br/>
            </w:r>
          </w:p>
          <w:p w14:paraId="1FF02FF2" w14:textId="7305AB1D" w:rsidR="00AA5003" w:rsidRPr="005D78F1" w:rsidRDefault="005D78F1" w:rsidP="00B86EC4">
            <w:pPr>
              <w:pStyle w:val="NoSpacing"/>
              <w:ind w:left="72"/>
              <w:rPr>
                <w:b/>
              </w:rPr>
            </w:pPr>
            <w:r>
              <w:t xml:space="preserve">Refer to Specifications Manual hyperlink above for detailed tables. </w:t>
            </w:r>
          </w:p>
        </w:tc>
      </w:tr>
      <w:tr w:rsidR="00B05CBF" w14:paraId="1FF0302D" w14:textId="77777777" w:rsidTr="00800C24">
        <w:trPr>
          <w:trHeight w:val="710"/>
        </w:trPr>
        <w:tc>
          <w:tcPr>
            <w:tcW w:w="2628" w:type="dxa"/>
          </w:tcPr>
          <w:p w14:paraId="1FF02FF4" w14:textId="77777777" w:rsidR="00B05CBF" w:rsidRPr="00717546" w:rsidRDefault="00B05CBF" w:rsidP="00C01E6F">
            <w:pPr>
              <w:pStyle w:val="NoSpacing"/>
              <w:rPr>
                <w:b/>
              </w:rPr>
            </w:pPr>
            <w:r>
              <w:rPr>
                <w:b/>
              </w:rPr>
              <w:t>Denominator Exclusions</w:t>
            </w:r>
          </w:p>
        </w:tc>
        <w:tc>
          <w:tcPr>
            <w:tcW w:w="6948" w:type="dxa"/>
            <w:gridSpan w:val="3"/>
          </w:tcPr>
          <w:p w14:paraId="1FF02FF5" w14:textId="77777777" w:rsidR="002D0937" w:rsidRDefault="00593D3C" w:rsidP="002D0937">
            <w:pPr>
              <w:pStyle w:val="NoSpacing"/>
              <w:numPr>
                <w:ilvl w:val="0"/>
                <w:numId w:val="16"/>
              </w:numPr>
            </w:pPr>
            <w:r>
              <w:t xml:space="preserve">VTE-1: </w:t>
            </w:r>
          </w:p>
          <w:p w14:paraId="1FF02FF6" w14:textId="77777777" w:rsidR="002D0937" w:rsidRDefault="002D0937" w:rsidP="002D0937">
            <w:pPr>
              <w:pStyle w:val="NoSpacing"/>
              <w:numPr>
                <w:ilvl w:val="1"/>
                <w:numId w:val="16"/>
              </w:numPr>
            </w:pPr>
            <w:r>
              <w:t>Patients less than 18 years of age</w:t>
            </w:r>
          </w:p>
          <w:p w14:paraId="1FF02FF7" w14:textId="77777777" w:rsidR="002D0937" w:rsidRDefault="002D0937" w:rsidP="002D0937">
            <w:pPr>
              <w:pStyle w:val="NoSpacing"/>
              <w:numPr>
                <w:ilvl w:val="1"/>
                <w:numId w:val="16"/>
              </w:numPr>
            </w:pPr>
            <w:r>
              <w:t>Patients who have a length of stay (LOS) less than two days and greater than 120 days</w:t>
            </w:r>
          </w:p>
          <w:p w14:paraId="1FF02FF8" w14:textId="77777777" w:rsidR="002D0937" w:rsidRDefault="002D0937" w:rsidP="002D0937">
            <w:pPr>
              <w:pStyle w:val="NoSpacing"/>
              <w:numPr>
                <w:ilvl w:val="1"/>
                <w:numId w:val="16"/>
              </w:numPr>
            </w:pPr>
            <w:r>
              <w:lastRenderedPageBreak/>
              <w:t>Patients with Comfort Measures Only (as defined in the Data Dictionary) documented on day of or day after hospital arrival</w:t>
            </w:r>
          </w:p>
          <w:p w14:paraId="1FF02FF9" w14:textId="77777777" w:rsidR="002D0937" w:rsidRDefault="002D0937" w:rsidP="002D0937">
            <w:pPr>
              <w:pStyle w:val="NoSpacing"/>
              <w:numPr>
                <w:ilvl w:val="1"/>
                <w:numId w:val="16"/>
              </w:numPr>
            </w:pPr>
            <w:r>
              <w:t>Patients enrolled in clinical trials</w:t>
            </w:r>
          </w:p>
          <w:p w14:paraId="1FF02FFA" w14:textId="77777777" w:rsidR="002D0937" w:rsidRDefault="002D0937" w:rsidP="002D0937">
            <w:pPr>
              <w:pStyle w:val="NoSpacing"/>
              <w:numPr>
                <w:ilvl w:val="1"/>
                <w:numId w:val="16"/>
              </w:numPr>
            </w:pPr>
            <w:r>
              <w:t>Patients who are direct admits to intensive care unit (ICU), or transferred to ICU the day of or the day after hospital admission with ICU LOS greater than or equal to one day</w:t>
            </w:r>
          </w:p>
          <w:p w14:paraId="1FF02FFB" w14:textId="01F22D6B" w:rsidR="002D0937" w:rsidRDefault="002D0937" w:rsidP="002D0937">
            <w:pPr>
              <w:pStyle w:val="NoSpacing"/>
              <w:numPr>
                <w:ilvl w:val="1"/>
                <w:numId w:val="16"/>
              </w:numPr>
            </w:pPr>
            <w:r>
              <w:t>Patients with International Classification of Diseases, Ninth Revision, Clinical Modification (ICD-9-CM) Principal Diagnosis Code of Mental Disorders or Stroke (as defined in the appendices of the original measure documentation)</w:t>
            </w:r>
          </w:p>
          <w:p w14:paraId="1FF02FFC" w14:textId="5DCC5BA9" w:rsidR="002D0937" w:rsidRDefault="002D0937" w:rsidP="002D0937">
            <w:pPr>
              <w:pStyle w:val="NoSpacing"/>
              <w:numPr>
                <w:ilvl w:val="1"/>
                <w:numId w:val="16"/>
              </w:numPr>
            </w:pPr>
            <w:r>
              <w:t>Patients with ICD-9-CM Principal or Other Diagnosis Codes of Obstetrics or venous thromboembolism (VTE) (as defined in the appendices of the original measure documentation)</w:t>
            </w:r>
          </w:p>
          <w:p w14:paraId="1FF02FFD" w14:textId="6069E5DC" w:rsidR="00B05CBF" w:rsidRDefault="002D0937" w:rsidP="002D0937">
            <w:pPr>
              <w:pStyle w:val="NoSpacing"/>
              <w:numPr>
                <w:ilvl w:val="1"/>
                <w:numId w:val="16"/>
              </w:numPr>
            </w:pPr>
            <w:r>
              <w:t>Patients with ICD-9-CM Principal Procedure Code of Surgical Care Improvement Project (SCIP) VTE selected surgeries (as defined in the appendices of the original measure documentation)</w:t>
            </w:r>
          </w:p>
          <w:p w14:paraId="1FF02FFE" w14:textId="77777777" w:rsidR="00593D3C" w:rsidRDefault="00593D3C" w:rsidP="00593D3C">
            <w:pPr>
              <w:pStyle w:val="NoSpacing"/>
              <w:numPr>
                <w:ilvl w:val="0"/>
                <w:numId w:val="16"/>
              </w:numPr>
            </w:pPr>
            <w:r>
              <w:t xml:space="preserve">VTE-2: </w:t>
            </w:r>
          </w:p>
          <w:p w14:paraId="1FF02FFF" w14:textId="77777777" w:rsidR="00593D3C" w:rsidRDefault="00593D3C" w:rsidP="00593D3C">
            <w:pPr>
              <w:pStyle w:val="NoSpacing"/>
              <w:numPr>
                <w:ilvl w:val="1"/>
                <w:numId w:val="16"/>
              </w:numPr>
            </w:pPr>
            <w:r>
              <w:t>Patients less than 18 years of age</w:t>
            </w:r>
          </w:p>
          <w:p w14:paraId="1FF03000" w14:textId="77777777" w:rsidR="00593D3C" w:rsidRDefault="00593D3C" w:rsidP="00593D3C">
            <w:pPr>
              <w:pStyle w:val="NoSpacing"/>
              <w:numPr>
                <w:ilvl w:val="1"/>
                <w:numId w:val="16"/>
              </w:numPr>
            </w:pPr>
            <w:r>
              <w:t>Patients who have a hospital length of stay (LOS) less than two days and greater than 120 days</w:t>
            </w:r>
          </w:p>
          <w:p w14:paraId="1FF03001" w14:textId="77777777" w:rsidR="00593D3C" w:rsidRDefault="00593D3C" w:rsidP="00593D3C">
            <w:pPr>
              <w:pStyle w:val="NoSpacing"/>
              <w:numPr>
                <w:ilvl w:val="1"/>
                <w:numId w:val="16"/>
              </w:numPr>
            </w:pPr>
            <w:r>
              <w:t>Patients with Comfort Measures Only documented on day of or day after hospital arrival</w:t>
            </w:r>
          </w:p>
          <w:p w14:paraId="1FF03002" w14:textId="77777777" w:rsidR="00593D3C" w:rsidRDefault="00593D3C" w:rsidP="00593D3C">
            <w:pPr>
              <w:pStyle w:val="NoSpacing"/>
              <w:numPr>
                <w:ilvl w:val="1"/>
                <w:numId w:val="16"/>
              </w:numPr>
            </w:pPr>
            <w:r>
              <w:t>Patients enrolled in clinical trials</w:t>
            </w:r>
          </w:p>
          <w:p w14:paraId="1FF03003" w14:textId="178C3F73" w:rsidR="00593D3C" w:rsidRDefault="00593D3C" w:rsidP="00593D3C">
            <w:pPr>
              <w:pStyle w:val="NoSpacing"/>
              <w:numPr>
                <w:ilvl w:val="1"/>
                <w:numId w:val="16"/>
              </w:numPr>
            </w:pPr>
            <w:r>
              <w:t xml:space="preserve">Patients with </w:t>
            </w:r>
            <w:r w:rsidR="00AA5003">
              <w:t>intensive care unit (</w:t>
            </w:r>
            <w:r>
              <w:t>ICU</w:t>
            </w:r>
            <w:r w:rsidR="00AA5003">
              <w:t>)</w:t>
            </w:r>
            <w:r>
              <w:t xml:space="preserve"> LOS less than one day without </w:t>
            </w:r>
            <w:r w:rsidR="00AA5003">
              <w:t>venous thromboembolism</w:t>
            </w:r>
            <w:r>
              <w:t xml:space="preserve"> prophylaxis administered and documentation for no </w:t>
            </w:r>
            <w:r w:rsidR="00AA5003">
              <w:t>venous thromboembolism</w:t>
            </w:r>
            <w:r>
              <w:t xml:space="preserve"> prophylaxis</w:t>
            </w:r>
          </w:p>
          <w:p w14:paraId="1FF03004" w14:textId="7A6AEF06" w:rsidR="00593D3C" w:rsidRDefault="00593D3C" w:rsidP="00593D3C">
            <w:pPr>
              <w:pStyle w:val="NoSpacing"/>
              <w:numPr>
                <w:ilvl w:val="1"/>
                <w:numId w:val="16"/>
              </w:numPr>
            </w:pPr>
            <w:r>
              <w:t xml:space="preserve">Patients with ICD-9-CM Principal or Other Diagnosis Code of Obstetrics or </w:t>
            </w:r>
            <w:r w:rsidR="00AA5003">
              <w:t>venous thromboembolism</w:t>
            </w:r>
            <w:r>
              <w:t xml:space="preserve"> as defined in Appendix A, Table 7.02, 7.03, or 7.04</w:t>
            </w:r>
            <w:r w:rsidR="00800C24">
              <w:t xml:space="preserve"> </w:t>
            </w:r>
          </w:p>
          <w:p w14:paraId="1FF03005" w14:textId="7360A79F" w:rsidR="00593D3C" w:rsidRDefault="00593D3C" w:rsidP="00593D3C">
            <w:pPr>
              <w:pStyle w:val="NoSpacing"/>
              <w:numPr>
                <w:ilvl w:val="1"/>
                <w:numId w:val="16"/>
              </w:numPr>
            </w:pPr>
            <w:r>
              <w:t xml:space="preserve">Patients with ICD-9-CM Principal Procedure Code of Surgical Care Improvement Project (SCIP) </w:t>
            </w:r>
            <w:r w:rsidR="00AA5003">
              <w:t>venous thromboembolism</w:t>
            </w:r>
            <w:r>
              <w:t xml:space="preserve"> selected surgeries as defined in Appendix A, Tables 5.17, 5.19, 5.20, 5.21, 5.22, 5.23, 5.24 that start the day of or the day after ICU admission or transfer</w:t>
            </w:r>
            <w:r w:rsidR="00800C24" w:rsidRPr="00800C24">
              <w:t xml:space="preserve"> </w:t>
            </w:r>
          </w:p>
          <w:p w14:paraId="1FF03006" w14:textId="77777777" w:rsidR="00455A4D" w:rsidRDefault="00455A4D" w:rsidP="00455A4D">
            <w:pPr>
              <w:pStyle w:val="NoSpacing"/>
              <w:numPr>
                <w:ilvl w:val="0"/>
                <w:numId w:val="16"/>
              </w:numPr>
            </w:pPr>
            <w:r>
              <w:t xml:space="preserve">VTE-3: </w:t>
            </w:r>
          </w:p>
          <w:p w14:paraId="1FF03007" w14:textId="77777777" w:rsidR="00455A4D" w:rsidRDefault="00455A4D" w:rsidP="00455A4D">
            <w:pPr>
              <w:pStyle w:val="NoSpacing"/>
              <w:numPr>
                <w:ilvl w:val="1"/>
                <w:numId w:val="16"/>
              </w:numPr>
            </w:pPr>
            <w:r>
              <w:t>Patients less than 18 years of age</w:t>
            </w:r>
          </w:p>
          <w:p w14:paraId="1FF03008" w14:textId="77777777" w:rsidR="00455A4D" w:rsidRDefault="00455A4D" w:rsidP="00455A4D">
            <w:pPr>
              <w:pStyle w:val="NoSpacing"/>
              <w:numPr>
                <w:ilvl w:val="1"/>
                <w:numId w:val="16"/>
              </w:numPr>
            </w:pPr>
            <w:r>
              <w:t>Patients who have a length of stay greater than 120 days</w:t>
            </w:r>
          </w:p>
          <w:p w14:paraId="1FF03009" w14:textId="77777777" w:rsidR="00455A4D" w:rsidRDefault="00455A4D" w:rsidP="00455A4D">
            <w:pPr>
              <w:pStyle w:val="NoSpacing"/>
              <w:numPr>
                <w:ilvl w:val="1"/>
                <w:numId w:val="16"/>
              </w:numPr>
            </w:pPr>
            <w:r>
              <w:t>Patients with Comfort Measures Only documented</w:t>
            </w:r>
          </w:p>
          <w:p w14:paraId="1FF0300A" w14:textId="77777777" w:rsidR="00455A4D" w:rsidRDefault="00455A4D" w:rsidP="00455A4D">
            <w:pPr>
              <w:pStyle w:val="NoSpacing"/>
              <w:numPr>
                <w:ilvl w:val="1"/>
                <w:numId w:val="16"/>
              </w:numPr>
            </w:pPr>
            <w:r>
              <w:t>Patients enrolled in clinical trials</w:t>
            </w:r>
          </w:p>
          <w:p w14:paraId="1FF0300B" w14:textId="77777777" w:rsidR="00455A4D" w:rsidRDefault="00455A4D" w:rsidP="00455A4D">
            <w:pPr>
              <w:pStyle w:val="NoSpacing"/>
              <w:numPr>
                <w:ilvl w:val="1"/>
                <w:numId w:val="16"/>
              </w:numPr>
            </w:pPr>
            <w:r>
              <w:t>Patients discharged to a health care facility for hospice care</w:t>
            </w:r>
          </w:p>
          <w:p w14:paraId="1FF0300C" w14:textId="77777777" w:rsidR="00455A4D" w:rsidRDefault="00455A4D" w:rsidP="00455A4D">
            <w:pPr>
              <w:pStyle w:val="NoSpacing"/>
              <w:numPr>
                <w:ilvl w:val="1"/>
                <w:numId w:val="16"/>
              </w:numPr>
            </w:pPr>
            <w:r>
              <w:t>Patients discharged to home for hospice care</w:t>
            </w:r>
          </w:p>
          <w:p w14:paraId="1FF0300D" w14:textId="77777777" w:rsidR="00455A4D" w:rsidRDefault="00455A4D" w:rsidP="00455A4D">
            <w:pPr>
              <w:pStyle w:val="NoSpacing"/>
              <w:numPr>
                <w:ilvl w:val="1"/>
                <w:numId w:val="16"/>
              </w:numPr>
            </w:pPr>
            <w:r>
              <w:lastRenderedPageBreak/>
              <w:t>Patients who expired</w:t>
            </w:r>
          </w:p>
          <w:p w14:paraId="1FF0300E" w14:textId="77777777" w:rsidR="00455A4D" w:rsidRDefault="00455A4D" w:rsidP="00455A4D">
            <w:pPr>
              <w:pStyle w:val="NoSpacing"/>
              <w:numPr>
                <w:ilvl w:val="1"/>
                <w:numId w:val="16"/>
              </w:numPr>
            </w:pPr>
            <w:r>
              <w:t>Patients who left against medical advice</w:t>
            </w:r>
          </w:p>
          <w:p w14:paraId="1FF0300F" w14:textId="77777777" w:rsidR="00455A4D" w:rsidRDefault="00455A4D" w:rsidP="00455A4D">
            <w:pPr>
              <w:pStyle w:val="NoSpacing"/>
              <w:numPr>
                <w:ilvl w:val="1"/>
                <w:numId w:val="16"/>
              </w:numPr>
            </w:pPr>
            <w:r>
              <w:t>Patients discharged to another hospital</w:t>
            </w:r>
          </w:p>
          <w:p w14:paraId="1FF03010" w14:textId="77777777" w:rsidR="00455A4D" w:rsidRDefault="00455A4D" w:rsidP="00455A4D">
            <w:pPr>
              <w:pStyle w:val="NoSpacing"/>
              <w:numPr>
                <w:ilvl w:val="1"/>
                <w:numId w:val="16"/>
              </w:numPr>
            </w:pPr>
            <w:r>
              <w:t>Patients without warfarin therapy during hospitalization</w:t>
            </w:r>
          </w:p>
          <w:p w14:paraId="1FF03011" w14:textId="77777777" w:rsidR="00593D3C" w:rsidRDefault="00455A4D" w:rsidP="00455A4D">
            <w:pPr>
              <w:pStyle w:val="NoSpacing"/>
              <w:numPr>
                <w:ilvl w:val="1"/>
                <w:numId w:val="16"/>
              </w:numPr>
            </w:pPr>
            <w:r>
              <w:t xml:space="preserve">Patients without </w:t>
            </w:r>
            <w:r w:rsidR="008268C1">
              <w:t>venous thromboembolism (</w:t>
            </w:r>
            <w:r>
              <w:t>VTE</w:t>
            </w:r>
            <w:r w:rsidR="008268C1">
              <w:t xml:space="preserve">) </w:t>
            </w:r>
            <w:r>
              <w:t>confirmed by diagnostic testing</w:t>
            </w:r>
          </w:p>
          <w:p w14:paraId="1FF03012" w14:textId="77777777" w:rsidR="00455A4D" w:rsidRDefault="00455A4D" w:rsidP="00455A4D">
            <w:pPr>
              <w:pStyle w:val="NoSpacing"/>
              <w:numPr>
                <w:ilvl w:val="0"/>
                <w:numId w:val="16"/>
              </w:numPr>
            </w:pPr>
            <w:r>
              <w:t xml:space="preserve">VTE-4: </w:t>
            </w:r>
          </w:p>
          <w:p w14:paraId="1FF03013" w14:textId="77777777" w:rsidR="00455A4D" w:rsidRDefault="00455A4D" w:rsidP="00455A4D">
            <w:pPr>
              <w:pStyle w:val="NoSpacing"/>
              <w:numPr>
                <w:ilvl w:val="1"/>
                <w:numId w:val="16"/>
              </w:numPr>
            </w:pPr>
            <w:r>
              <w:t>Patients less than 18 years of age</w:t>
            </w:r>
          </w:p>
          <w:p w14:paraId="1FF03014" w14:textId="77777777" w:rsidR="00455A4D" w:rsidRDefault="00455A4D" w:rsidP="00455A4D">
            <w:pPr>
              <w:pStyle w:val="NoSpacing"/>
              <w:numPr>
                <w:ilvl w:val="1"/>
                <w:numId w:val="16"/>
              </w:numPr>
            </w:pPr>
            <w:r>
              <w:t>Patients who have a length of stay greater than 120 days</w:t>
            </w:r>
          </w:p>
          <w:p w14:paraId="1FF03015" w14:textId="77777777" w:rsidR="00455A4D" w:rsidRDefault="00455A4D" w:rsidP="00455A4D">
            <w:pPr>
              <w:pStyle w:val="NoSpacing"/>
              <w:numPr>
                <w:ilvl w:val="1"/>
                <w:numId w:val="16"/>
              </w:numPr>
            </w:pPr>
            <w:r>
              <w:t>Patients with Comfort Measures Only documented</w:t>
            </w:r>
          </w:p>
          <w:p w14:paraId="1FF03016" w14:textId="77777777" w:rsidR="00455A4D" w:rsidRDefault="00455A4D" w:rsidP="00455A4D">
            <w:pPr>
              <w:pStyle w:val="NoSpacing"/>
              <w:numPr>
                <w:ilvl w:val="1"/>
                <w:numId w:val="16"/>
              </w:numPr>
            </w:pPr>
            <w:r>
              <w:t>Patients enrolled in clinical trials</w:t>
            </w:r>
          </w:p>
          <w:p w14:paraId="1FF03017" w14:textId="77777777" w:rsidR="00455A4D" w:rsidRDefault="00455A4D" w:rsidP="00455A4D">
            <w:pPr>
              <w:pStyle w:val="NoSpacing"/>
              <w:numPr>
                <w:ilvl w:val="1"/>
                <w:numId w:val="16"/>
              </w:numPr>
            </w:pPr>
            <w:r>
              <w:t>Patients discharged to a health care facility for hospice care</w:t>
            </w:r>
          </w:p>
          <w:p w14:paraId="1FF03018" w14:textId="77777777" w:rsidR="00455A4D" w:rsidRDefault="00455A4D" w:rsidP="00455A4D">
            <w:pPr>
              <w:pStyle w:val="NoSpacing"/>
              <w:numPr>
                <w:ilvl w:val="1"/>
                <w:numId w:val="16"/>
              </w:numPr>
            </w:pPr>
            <w:r>
              <w:t>Patients discharged to home for hospice care</w:t>
            </w:r>
          </w:p>
          <w:p w14:paraId="1FF03019" w14:textId="77777777" w:rsidR="00455A4D" w:rsidRDefault="00455A4D" w:rsidP="00455A4D">
            <w:pPr>
              <w:pStyle w:val="NoSpacing"/>
              <w:numPr>
                <w:ilvl w:val="1"/>
                <w:numId w:val="16"/>
              </w:numPr>
            </w:pPr>
            <w:r>
              <w:t>Patients who expired</w:t>
            </w:r>
          </w:p>
          <w:p w14:paraId="1FF0301A" w14:textId="77777777" w:rsidR="00455A4D" w:rsidRDefault="00455A4D" w:rsidP="00455A4D">
            <w:pPr>
              <w:pStyle w:val="NoSpacing"/>
              <w:numPr>
                <w:ilvl w:val="1"/>
                <w:numId w:val="16"/>
              </w:numPr>
            </w:pPr>
            <w:r>
              <w:t>Patients who left against medical advice</w:t>
            </w:r>
          </w:p>
          <w:p w14:paraId="1FF0301B" w14:textId="77777777" w:rsidR="00455A4D" w:rsidRDefault="00455A4D" w:rsidP="00455A4D">
            <w:pPr>
              <w:pStyle w:val="NoSpacing"/>
              <w:numPr>
                <w:ilvl w:val="1"/>
                <w:numId w:val="16"/>
              </w:numPr>
            </w:pPr>
            <w:r>
              <w:t>Patients discharged to another hospital</w:t>
            </w:r>
          </w:p>
          <w:p w14:paraId="1FF0301C" w14:textId="77777777" w:rsidR="00455A4D" w:rsidRDefault="00455A4D" w:rsidP="00455A4D">
            <w:pPr>
              <w:pStyle w:val="NoSpacing"/>
              <w:numPr>
                <w:ilvl w:val="1"/>
                <w:numId w:val="16"/>
              </w:numPr>
            </w:pPr>
            <w:r>
              <w:t xml:space="preserve">Patients without </w:t>
            </w:r>
            <w:r w:rsidR="00AA5003">
              <w:t>unfractionated heparin (</w:t>
            </w:r>
            <w:r>
              <w:t>UFH</w:t>
            </w:r>
            <w:r w:rsidR="00AA5003">
              <w:t>)</w:t>
            </w:r>
            <w:r>
              <w:t xml:space="preserve"> Therapy Administration</w:t>
            </w:r>
          </w:p>
          <w:p w14:paraId="1FF0301D" w14:textId="77777777" w:rsidR="00455A4D" w:rsidRDefault="00455A4D" w:rsidP="00455A4D">
            <w:pPr>
              <w:pStyle w:val="NoSpacing"/>
              <w:numPr>
                <w:ilvl w:val="1"/>
                <w:numId w:val="16"/>
              </w:numPr>
            </w:pPr>
            <w:r>
              <w:t xml:space="preserve">Patients without </w:t>
            </w:r>
            <w:r w:rsidR="008268C1">
              <w:t>venous thromboembolism (</w:t>
            </w:r>
            <w:r>
              <w:t>VTE</w:t>
            </w:r>
            <w:r w:rsidR="008268C1">
              <w:t xml:space="preserve">) </w:t>
            </w:r>
            <w:r>
              <w:t>confirmed by diagnostic testing</w:t>
            </w:r>
          </w:p>
          <w:p w14:paraId="1FF0301E" w14:textId="77777777" w:rsidR="008F6CB0" w:rsidRDefault="008F6CB0" w:rsidP="008F6CB0">
            <w:pPr>
              <w:pStyle w:val="NoSpacing"/>
              <w:numPr>
                <w:ilvl w:val="0"/>
                <w:numId w:val="16"/>
              </w:numPr>
            </w:pPr>
            <w:r>
              <w:t xml:space="preserve">VTE-5: </w:t>
            </w:r>
          </w:p>
          <w:p w14:paraId="1FF0301F" w14:textId="77777777" w:rsidR="008F6CB0" w:rsidRDefault="008F6CB0" w:rsidP="008F6CB0">
            <w:pPr>
              <w:pStyle w:val="NoSpacing"/>
              <w:numPr>
                <w:ilvl w:val="1"/>
                <w:numId w:val="16"/>
              </w:numPr>
            </w:pPr>
            <w:r>
              <w:t>Patients less than 18 years of age</w:t>
            </w:r>
          </w:p>
          <w:p w14:paraId="1FF03020" w14:textId="77777777" w:rsidR="008F6CB0" w:rsidRDefault="008F6CB0" w:rsidP="008F6CB0">
            <w:pPr>
              <w:pStyle w:val="NoSpacing"/>
              <w:numPr>
                <w:ilvl w:val="1"/>
                <w:numId w:val="16"/>
              </w:numPr>
            </w:pPr>
            <w:r>
              <w:t>Patients who have a length of stay greater than 120 days</w:t>
            </w:r>
          </w:p>
          <w:p w14:paraId="1FF03021" w14:textId="77777777" w:rsidR="008F6CB0" w:rsidRDefault="008F6CB0" w:rsidP="008F6CB0">
            <w:pPr>
              <w:pStyle w:val="NoSpacing"/>
              <w:numPr>
                <w:ilvl w:val="1"/>
                <w:numId w:val="16"/>
              </w:numPr>
            </w:pPr>
            <w:r>
              <w:t>Patients enrolled in clinical trials</w:t>
            </w:r>
          </w:p>
          <w:p w14:paraId="1FF03022" w14:textId="77777777" w:rsidR="008F6CB0" w:rsidRDefault="008F6CB0" w:rsidP="008F6CB0">
            <w:pPr>
              <w:pStyle w:val="NoSpacing"/>
              <w:numPr>
                <w:ilvl w:val="1"/>
                <w:numId w:val="16"/>
              </w:numPr>
            </w:pPr>
            <w:r>
              <w:t>Patients without Warfarin Prescribed at Discharge</w:t>
            </w:r>
          </w:p>
          <w:p w14:paraId="1FF03023" w14:textId="77777777" w:rsidR="008F6CB0" w:rsidRDefault="008F6CB0" w:rsidP="008F6CB0">
            <w:pPr>
              <w:pStyle w:val="NoSpacing"/>
              <w:numPr>
                <w:ilvl w:val="1"/>
                <w:numId w:val="16"/>
              </w:numPr>
            </w:pPr>
            <w:r>
              <w:t xml:space="preserve">Patients without </w:t>
            </w:r>
            <w:r w:rsidR="00AA5003">
              <w:t>venous thromboembolism</w:t>
            </w:r>
            <w:r>
              <w:t xml:space="preserve"> </w:t>
            </w:r>
            <w:r w:rsidR="008268C1">
              <w:t>(VTE)</w:t>
            </w:r>
            <w:r>
              <w:t>confirmed by diagnostic testing</w:t>
            </w:r>
          </w:p>
          <w:p w14:paraId="1FF03024" w14:textId="77777777" w:rsidR="00AA5003" w:rsidRDefault="00AA5003" w:rsidP="00AA5003">
            <w:pPr>
              <w:pStyle w:val="NoSpacing"/>
              <w:numPr>
                <w:ilvl w:val="0"/>
                <w:numId w:val="16"/>
              </w:numPr>
            </w:pPr>
            <w:r>
              <w:t xml:space="preserve">VTE-6: </w:t>
            </w:r>
          </w:p>
          <w:p w14:paraId="1FF03025" w14:textId="77777777" w:rsidR="00AA5003" w:rsidRDefault="00AA5003" w:rsidP="00AA5003">
            <w:pPr>
              <w:pStyle w:val="NoSpacing"/>
              <w:numPr>
                <w:ilvl w:val="1"/>
                <w:numId w:val="16"/>
              </w:numPr>
            </w:pPr>
            <w:r>
              <w:t>Patients less than 18 years of age</w:t>
            </w:r>
          </w:p>
          <w:p w14:paraId="1FF03026" w14:textId="77777777" w:rsidR="00AA5003" w:rsidRDefault="00AA5003" w:rsidP="00AA5003">
            <w:pPr>
              <w:pStyle w:val="NoSpacing"/>
              <w:numPr>
                <w:ilvl w:val="1"/>
                <w:numId w:val="16"/>
              </w:numPr>
            </w:pPr>
            <w:r>
              <w:t>Patients who have a length of stay greater than 120 days</w:t>
            </w:r>
          </w:p>
          <w:p w14:paraId="1FF03027" w14:textId="77777777" w:rsidR="00AA5003" w:rsidRDefault="00AA5003" w:rsidP="00AA5003">
            <w:pPr>
              <w:pStyle w:val="NoSpacing"/>
              <w:numPr>
                <w:ilvl w:val="1"/>
                <w:numId w:val="16"/>
              </w:numPr>
            </w:pPr>
            <w:r>
              <w:t>Patients with Comfort Measures Only documented</w:t>
            </w:r>
          </w:p>
          <w:p w14:paraId="1FF03028" w14:textId="77777777" w:rsidR="00AA5003" w:rsidRDefault="00AA5003" w:rsidP="00AA5003">
            <w:pPr>
              <w:pStyle w:val="NoSpacing"/>
              <w:numPr>
                <w:ilvl w:val="1"/>
                <w:numId w:val="16"/>
              </w:numPr>
            </w:pPr>
            <w:r>
              <w:t>Patients enrolled in clinical trials</w:t>
            </w:r>
          </w:p>
          <w:p w14:paraId="1FF03029" w14:textId="483FBB72" w:rsidR="00AA5003" w:rsidRDefault="00AA5003" w:rsidP="00AA5003">
            <w:pPr>
              <w:pStyle w:val="NoSpacing"/>
              <w:numPr>
                <w:ilvl w:val="1"/>
                <w:numId w:val="16"/>
              </w:numPr>
            </w:pPr>
            <w:r>
              <w:t>Patients with ICD-9-CM Principal Diagnosis Code of VTE as defined in Appendix A, Table 7.03 or 7.04</w:t>
            </w:r>
            <w:r w:rsidR="00800C24">
              <w:t xml:space="preserve"> </w:t>
            </w:r>
          </w:p>
          <w:p w14:paraId="1FF0302A" w14:textId="77777777" w:rsidR="00AA5003" w:rsidRDefault="00AA5003" w:rsidP="00AA5003">
            <w:pPr>
              <w:pStyle w:val="NoSpacing"/>
              <w:numPr>
                <w:ilvl w:val="1"/>
                <w:numId w:val="16"/>
              </w:numPr>
            </w:pPr>
            <w:r>
              <w:t xml:space="preserve">Patients with </w:t>
            </w:r>
            <w:r w:rsidR="008268C1">
              <w:t>venous thromboembolism (</w:t>
            </w:r>
            <w:r>
              <w:t>VTE</w:t>
            </w:r>
            <w:r w:rsidR="008268C1">
              <w:t>)</w:t>
            </w:r>
            <w:r>
              <w:t xml:space="preserve"> Present at Admission</w:t>
            </w:r>
          </w:p>
          <w:p w14:paraId="1FF0302B" w14:textId="77777777" w:rsidR="00AA5003" w:rsidRDefault="00AA5003" w:rsidP="00AA5003">
            <w:pPr>
              <w:pStyle w:val="NoSpacing"/>
              <w:numPr>
                <w:ilvl w:val="1"/>
                <w:numId w:val="16"/>
              </w:numPr>
            </w:pPr>
            <w:r>
              <w:t>Patients with reasons for not administering mechanical and pharmacologic prophylaxis</w:t>
            </w:r>
          </w:p>
          <w:p w14:paraId="2D1EC8B2" w14:textId="77777777" w:rsidR="00AA5003" w:rsidRDefault="00AA5003" w:rsidP="00AA5003">
            <w:pPr>
              <w:pStyle w:val="NoSpacing"/>
              <w:numPr>
                <w:ilvl w:val="1"/>
                <w:numId w:val="16"/>
              </w:numPr>
            </w:pPr>
            <w:r>
              <w:t xml:space="preserve">Patients without </w:t>
            </w:r>
            <w:r w:rsidR="008268C1">
              <w:t>venous thromboembolism (</w:t>
            </w:r>
            <w:r>
              <w:t>VTE</w:t>
            </w:r>
            <w:r w:rsidR="008268C1">
              <w:t>)</w:t>
            </w:r>
            <w:r>
              <w:t xml:space="preserve"> confirmed by diagnostic testing</w:t>
            </w:r>
          </w:p>
          <w:p w14:paraId="1FF0302C" w14:textId="507F2D3A" w:rsidR="00813E6D" w:rsidRPr="001D6BEA" w:rsidRDefault="00813E6D" w:rsidP="00B86EC4">
            <w:pPr>
              <w:pStyle w:val="NoSpacing"/>
            </w:pPr>
            <w:r>
              <w:br/>
              <w:t>Refer to Specifications Manual hyperlink above for detailed tables</w:t>
            </w:r>
            <w:r w:rsidR="00B56243">
              <w:t xml:space="preserve"> and the Data Dictionary</w:t>
            </w:r>
            <w:r>
              <w:t>.</w:t>
            </w:r>
          </w:p>
        </w:tc>
      </w:tr>
      <w:tr w:rsidR="00D63CD3" w14:paraId="1FF03033" w14:textId="77777777" w:rsidTr="00800C24">
        <w:tc>
          <w:tcPr>
            <w:tcW w:w="2628" w:type="dxa"/>
          </w:tcPr>
          <w:p w14:paraId="1FF0302E" w14:textId="77777777" w:rsidR="00D63CD3" w:rsidRDefault="00D63CD3" w:rsidP="00AF103E">
            <w:pPr>
              <w:pStyle w:val="NoSpacing"/>
              <w:rPr>
                <w:b/>
              </w:rPr>
            </w:pPr>
            <w:r>
              <w:rPr>
                <w:b/>
              </w:rPr>
              <w:lastRenderedPageBreak/>
              <w:t>Denominator Size</w:t>
            </w:r>
          </w:p>
        </w:tc>
        <w:tc>
          <w:tcPr>
            <w:tcW w:w="6948" w:type="dxa"/>
            <w:gridSpan w:val="3"/>
          </w:tcPr>
          <w:p w14:paraId="1FF0302F" w14:textId="77777777" w:rsidR="00D63CD3" w:rsidRDefault="00D63CD3" w:rsidP="00D63CD3">
            <w:pPr>
              <w:pStyle w:val="NoSpacing"/>
            </w:pPr>
            <w:r>
              <w:t>Providers</w:t>
            </w:r>
            <w:r w:rsidRPr="00D63CD3">
              <w:t xml:space="preserve"> must report a </w:t>
            </w:r>
            <w:r w:rsidR="0011709A">
              <w:t>minimum of 3</w:t>
            </w:r>
            <w:r w:rsidR="0032246B">
              <w:t xml:space="preserve">0 cases per measure during a </w:t>
            </w:r>
            <w:r w:rsidR="0011709A">
              <w:t>12-month measurement period (15 cases for a 6-month measurement period)</w:t>
            </w:r>
          </w:p>
          <w:p w14:paraId="1FF03030" w14:textId="77777777" w:rsidR="0032246B" w:rsidRDefault="0032246B" w:rsidP="0032246B">
            <w:pPr>
              <w:pStyle w:val="NoSpacing"/>
              <w:numPr>
                <w:ilvl w:val="0"/>
                <w:numId w:val="8"/>
              </w:numPr>
            </w:pPr>
            <w:r>
              <w:lastRenderedPageBreak/>
              <w:t xml:space="preserve">For a measurement period </w:t>
            </w:r>
            <w:r w:rsidR="003A409E">
              <w:t xml:space="preserve">(either 6 or 12 </w:t>
            </w:r>
            <w:r w:rsidR="0011709A">
              <w:t xml:space="preserve">months) where the </w:t>
            </w:r>
            <w:r>
              <w:t>denominator size is less than or equal to 75, providers must report on all cases. No sampling is allowed.</w:t>
            </w:r>
          </w:p>
          <w:p w14:paraId="1FF03031" w14:textId="77777777" w:rsidR="0032246B" w:rsidRDefault="0032246B" w:rsidP="0032246B">
            <w:pPr>
              <w:pStyle w:val="NoSpacing"/>
              <w:numPr>
                <w:ilvl w:val="0"/>
                <w:numId w:val="8"/>
              </w:numPr>
            </w:pPr>
            <w:r>
              <w:t xml:space="preserve">For a measurement period </w:t>
            </w:r>
            <w:r w:rsidR="003A409E">
              <w:t xml:space="preserve">(either 6 or 12 </w:t>
            </w:r>
            <w:r w:rsidR="0011709A">
              <w:t xml:space="preserve">months) where the </w:t>
            </w:r>
            <w:r>
              <w:t xml:space="preserve">denominator size is less than or equal to 380 but greater than 75, providers must report on </w:t>
            </w:r>
            <w:r w:rsidR="003A409E">
              <w:t xml:space="preserve">all cases (preferred, particularly for providers using an electronic health record) or </w:t>
            </w:r>
            <w:r>
              <w:t>a random sample of not less than 76 cases.</w:t>
            </w:r>
          </w:p>
          <w:p w14:paraId="1FF03032" w14:textId="1946F303" w:rsidR="0032246B" w:rsidRPr="001D6BEA" w:rsidRDefault="0032246B" w:rsidP="00963FB7">
            <w:pPr>
              <w:pStyle w:val="NoSpacing"/>
              <w:numPr>
                <w:ilvl w:val="0"/>
                <w:numId w:val="8"/>
              </w:numPr>
            </w:pPr>
            <w:r>
              <w:t xml:space="preserve">For a measurement period </w:t>
            </w:r>
            <w:r w:rsidR="0011709A">
              <w:t>(either 6 or 12-months) where the denominator size</w:t>
            </w:r>
            <w:r>
              <w:t xml:space="preserve"> is greater than </w:t>
            </w:r>
            <w:r w:rsidR="00963FB7">
              <w:t>380</w:t>
            </w:r>
            <w:r>
              <w:t xml:space="preserve">, providers must report on </w:t>
            </w:r>
            <w:r w:rsidR="003A409E">
              <w:t xml:space="preserve">all cases (preferred, particularly for providers using an electronic health record) or </w:t>
            </w:r>
            <w:r>
              <w:t xml:space="preserve">a random sample of cases that is not less than 20% of all cases; however, providers may cap the </w:t>
            </w:r>
            <w:r w:rsidR="0011709A">
              <w:t xml:space="preserve">total </w:t>
            </w:r>
            <w:r>
              <w:t xml:space="preserve">sample size at 300 cases. </w:t>
            </w:r>
          </w:p>
        </w:tc>
      </w:tr>
      <w:tr w:rsidR="00AC3A97" w14:paraId="1FF03043" w14:textId="77777777" w:rsidTr="00800C24">
        <w:tc>
          <w:tcPr>
            <w:tcW w:w="2628" w:type="dxa"/>
          </w:tcPr>
          <w:p w14:paraId="1FF03034" w14:textId="77777777" w:rsidR="00AC3A97" w:rsidRPr="00717546" w:rsidRDefault="00AC3A97" w:rsidP="00AF103E">
            <w:pPr>
              <w:pStyle w:val="NoSpacing"/>
              <w:rPr>
                <w:b/>
              </w:rPr>
            </w:pPr>
            <w:r>
              <w:rPr>
                <w:b/>
              </w:rPr>
              <w:lastRenderedPageBreak/>
              <w:t xml:space="preserve">Numerator Description </w:t>
            </w:r>
          </w:p>
        </w:tc>
        <w:tc>
          <w:tcPr>
            <w:tcW w:w="6948" w:type="dxa"/>
            <w:gridSpan w:val="3"/>
          </w:tcPr>
          <w:p w14:paraId="1FF03035" w14:textId="78972C8C" w:rsidR="00593D3C" w:rsidRPr="008F6CB0" w:rsidRDefault="00593D3C" w:rsidP="00593D3C">
            <w:pPr>
              <w:pStyle w:val="NoSpacing"/>
              <w:numPr>
                <w:ilvl w:val="0"/>
                <w:numId w:val="13"/>
              </w:numPr>
            </w:pPr>
            <w:r w:rsidRPr="008F6CB0">
              <w:t xml:space="preserve">VTE-1: Patients who received </w:t>
            </w:r>
            <w:r w:rsidR="00AA5003">
              <w:t>venous thromboembolism</w:t>
            </w:r>
            <w:r w:rsidRPr="008F6CB0">
              <w:t xml:space="preserve"> prophylaxis or have documentation why no </w:t>
            </w:r>
            <w:r w:rsidR="00AA5003">
              <w:t>venous thromboembolism</w:t>
            </w:r>
            <w:r w:rsidRPr="008F6CB0">
              <w:t xml:space="preserve"> prophylaxis was given:</w:t>
            </w:r>
          </w:p>
          <w:p w14:paraId="1FF03036" w14:textId="77777777" w:rsidR="00593D3C" w:rsidRDefault="00593D3C" w:rsidP="00593D3C">
            <w:pPr>
              <w:pStyle w:val="NoSpacing"/>
              <w:numPr>
                <w:ilvl w:val="1"/>
                <w:numId w:val="14"/>
              </w:numPr>
            </w:pPr>
            <w:r>
              <w:t>the day of or the day after hospital admission</w:t>
            </w:r>
          </w:p>
          <w:p w14:paraId="1FF03037" w14:textId="77777777" w:rsidR="00AC3A97" w:rsidRDefault="00593D3C" w:rsidP="00593D3C">
            <w:pPr>
              <w:pStyle w:val="NoSpacing"/>
              <w:numPr>
                <w:ilvl w:val="1"/>
                <w:numId w:val="14"/>
              </w:numPr>
            </w:pPr>
            <w:r>
              <w:t>the day of or the day after surgery end date for surgeries that start the day of or the day after hospital admission</w:t>
            </w:r>
          </w:p>
          <w:p w14:paraId="1FF03038" w14:textId="5A94DE1C" w:rsidR="00593D3C" w:rsidRDefault="00593D3C" w:rsidP="00593D3C">
            <w:pPr>
              <w:pStyle w:val="NoSpacing"/>
              <w:numPr>
                <w:ilvl w:val="0"/>
                <w:numId w:val="14"/>
              </w:numPr>
            </w:pPr>
            <w:r>
              <w:t xml:space="preserve">VTE-2: Patients who received </w:t>
            </w:r>
            <w:r w:rsidR="00AA5003">
              <w:t>venous thromboembolism</w:t>
            </w:r>
            <w:r>
              <w:t xml:space="preserve"> prophylaxis, or have documentation why no VTE prophylaxis was given:</w:t>
            </w:r>
          </w:p>
          <w:p w14:paraId="1FF03039" w14:textId="77777777" w:rsidR="00593D3C" w:rsidRDefault="00593D3C" w:rsidP="00593D3C">
            <w:pPr>
              <w:pStyle w:val="NoSpacing"/>
              <w:numPr>
                <w:ilvl w:val="1"/>
                <w:numId w:val="14"/>
              </w:numPr>
            </w:pPr>
            <w:r>
              <w:t xml:space="preserve">the day of or the day after </w:t>
            </w:r>
            <w:r w:rsidR="008268C1">
              <w:t>intensive care unit (</w:t>
            </w:r>
            <w:r>
              <w:t>ICU</w:t>
            </w:r>
            <w:r w:rsidR="008268C1">
              <w:t>)</w:t>
            </w:r>
            <w:r>
              <w:t xml:space="preserve"> admission (or transfer)</w:t>
            </w:r>
          </w:p>
          <w:p w14:paraId="1FF0303A" w14:textId="77777777" w:rsidR="00593D3C" w:rsidRDefault="00593D3C" w:rsidP="00593D3C">
            <w:pPr>
              <w:pStyle w:val="NoSpacing"/>
              <w:numPr>
                <w:ilvl w:val="1"/>
                <w:numId w:val="14"/>
              </w:numPr>
            </w:pPr>
            <w:r>
              <w:t>the day of or the day after surgery end date for surgeries that start the day of or the day after ICU admission (or transfer)</w:t>
            </w:r>
          </w:p>
          <w:p w14:paraId="1FF0303B" w14:textId="77777777" w:rsidR="00455A4D" w:rsidRPr="00455A4D" w:rsidRDefault="00455A4D" w:rsidP="00455A4D">
            <w:pPr>
              <w:pStyle w:val="NoSpacing"/>
              <w:numPr>
                <w:ilvl w:val="0"/>
                <w:numId w:val="14"/>
              </w:numPr>
            </w:pPr>
            <w:r>
              <w:t xml:space="preserve">VTE-3: </w:t>
            </w:r>
            <w:r>
              <w:rPr>
                <w:sz w:val="23"/>
                <w:szCs w:val="23"/>
              </w:rPr>
              <w:t>Patients who received overlap therapy</w:t>
            </w:r>
          </w:p>
          <w:p w14:paraId="1FF0303C" w14:textId="77777777" w:rsidR="00455A4D" w:rsidRDefault="00455A4D" w:rsidP="008F6CB0">
            <w:pPr>
              <w:pStyle w:val="NoSpacing"/>
              <w:numPr>
                <w:ilvl w:val="0"/>
                <w:numId w:val="14"/>
              </w:numPr>
            </w:pPr>
            <w:r>
              <w:t xml:space="preserve">VTE-4: </w:t>
            </w:r>
            <w:r w:rsidR="008F6CB0" w:rsidRPr="008F6CB0">
              <w:t xml:space="preserve">Patients who have their </w:t>
            </w:r>
            <w:r w:rsidR="008268C1">
              <w:t>intravenous (</w:t>
            </w:r>
            <w:r w:rsidR="008F6CB0" w:rsidRPr="008F6CB0">
              <w:t>IV</w:t>
            </w:r>
            <w:r w:rsidR="008268C1">
              <w:t>)</w:t>
            </w:r>
            <w:r w:rsidR="008F6CB0" w:rsidRPr="008F6CB0">
              <w:t xml:space="preserve"> </w:t>
            </w:r>
            <w:r w:rsidR="008268C1">
              <w:t>unfractionated heparin (</w:t>
            </w:r>
            <w:r w:rsidR="008F6CB0" w:rsidRPr="008F6CB0">
              <w:t>UFH</w:t>
            </w:r>
            <w:r w:rsidR="008268C1">
              <w:t>)</w:t>
            </w:r>
            <w:r w:rsidR="008F6CB0" w:rsidRPr="008F6CB0">
              <w:t xml:space="preserve"> therapy dosages AND platelet counts monitored according to defined parameters such as a </w:t>
            </w:r>
            <w:proofErr w:type="spellStart"/>
            <w:r w:rsidR="008F6CB0" w:rsidRPr="008F6CB0">
              <w:t>nomogram</w:t>
            </w:r>
            <w:proofErr w:type="spellEnd"/>
            <w:r w:rsidR="008F6CB0" w:rsidRPr="008F6CB0">
              <w:t xml:space="preserve"> or protocol.</w:t>
            </w:r>
          </w:p>
          <w:p w14:paraId="1FF0303D" w14:textId="77777777" w:rsidR="008F6CB0" w:rsidRDefault="008F6CB0" w:rsidP="008F6CB0">
            <w:pPr>
              <w:pStyle w:val="NoSpacing"/>
              <w:numPr>
                <w:ilvl w:val="0"/>
                <w:numId w:val="14"/>
              </w:numPr>
            </w:pPr>
            <w:r>
              <w:t>VTE-5: Patients with documentation that they or their caregivers were given written discharge instructions or other educational material about warfarin that addressed all of the following:</w:t>
            </w:r>
          </w:p>
          <w:p w14:paraId="1FF0303E" w14:textId="77777777" w:rsidR="008F6CB0" w:rsidRDefault="008F6CB0" w:rsidP="008F6CB0">
            <w:pPr>
              <w:pStyle w:val="NoSpacing"/>
              <w:numPr>
                <w:ilvl w:val="0"/>
                <w:numId w:val="20"/>
              </w:numPr>
            </w:pPr>
            <w:r>
              <w:t>compliance issues</w:t>
            </w:r>
          </w:p>
          <w:p w14:paraId="1FF0303F" w14:textId="77777777" w:rsidR="008F6CB0" w:rsidRDefault="008F6CB0" w:rsidP="008F6CB0">
            <w:pPr>
              <w:pStyle w:val="NoSpacing"/>
              <w:numPr>
                <w:ilvl w:val="0"/>
                <w:numId w:val="20"/>
              </w:numPr>
            </w:pPr>
            <w:r>
              <w:t>dietary advice</w:t>
            </w:r>
          </w:p>
          <w:p w14:paraId="1FF03040" w14:textId="77777777" w:rsidR="008F6CB0" w:rsidRDefault="008F6CB0" w:rsidP="008F6CB0">
            <w:pPr>
              <w:pStyle w:val="NoSpacing"/>
              <w:numPr>
                <w:ilvl w:val="0"/>
                <w:numId w:val="20"/>
              </w:numPr>
            </w:pPr>
            <w:r>
              <w:t>follow-up monitoring</w:t>
            </w:r>
          </w:p>
          <w:p w14:paraId="1FF03041" w14:textId="77777777" w:rsidR="008F6CB0" w:rsidRDefault="008F6CB0" w:rsidP="008F6CB0">
            <w:pPr>
              <w:pStyle w:val="NoSpacing"/>
              <w:numPr>
                <w:ilvl w:val="0"/>
                <w:numId w:val="20"/>
              </w:numPr>
            </w:pPr>
            <w:r>
              <w:t>potential for adverse drug reactions and interactions</w:t>
            </w:r>
          </w:p>
          <w:p w14:paraId="1FF03042" w14:textId="77777777" w:rsidR="00AA5003" w:rsidRPr="009F7E66" w:rsidRDefault="00AA5003" w:rsidP="00AA5003">
            <w:pPr>
              <w:pStyle w:val="NoSpacing"/>
              <w:numPr>
                <w:ilvl w:val="0"/>
                <w:numId w:val="21"/>
              </w:numPr>
            </w:pPr>
            <w:r>
              <w:t xml:space="preserve">VTE-6: </w:t>
            </w:r>
            <w:r w:rsidRPr="00AA5003">
              <w:t xml:space="preserve">Patients who received no </w:t>
            </w:r>
            <w:r w:rsidR="008268C1">
              <w:t>venous thromboembolism (</w:t>
            </w:r>
            <w:r w:rsidRPr="00AA5003">
              <w:t>VTE</w:t>
            </w:r>
            <w:r w:rsidR="008268C1">
              <w:t>)</w:t>
            </w:r>
            <w:r w:rsidRPr="00AA5003">
              <w:t xml:space="preserve"> prophylaxis prior to the VTE diagnostic test order date.</w:t>
            </w:r>
          </w:p>
        </w:tc>
      </w:tr>
      <w:tr w:rsidR="00AC3A97" w14:paraId="1FF03058" w14:textId="77777777" w:rsidTr="00800C24">
        <w:tc>
          <w:tcPr>
            <w:tcW w:w="2628" w:type="dxa"/>
          </w:tcPr>
          <w:p w14:paraId="1FF03044" w14:textId="77777777" w:rsidR="00AC3A97" w:rsidRPr="00717546" w:rsidRDefault="00AC3A97" w:rsidP="00AF103E">
            <w:pPr>
              <w:pStyle w:val="NoSpacing"/>
              <w:rPr>
                <w:b/>
              </w:rPr>
            </w:pPr>
            <w:r>
              <w:rPr>
                <w:b/>
              </w:rPr>
              <w:t>Numerator Inclusions</w:t>
            </w:r>
          </w:p>
        </w:tc>
        <w:tc>
          <w:tcPr>
            <w:tcW w:w="6948" w:type="dxa"/>
            <w:gridSpan w:val="3"/>
          </w:tcPr>
          <w:p w14:paraId="1FF03047" w14:textId="54D4878A" w:rsidR="00AC3A97" w:rsidRPr="002D0937" w:rsidRDefault="00593D3C" w:rsidP="00813E6D">
            <w:pPr>
              <w:pStyle w:val="NoSpacing"/>
              <w:numPr>
                <w:ilvl w:val="0"/>
                <w:numId w:val="13"/>
              </w:numPr>
            </w:pPr>
            <w:r>
              <w:t xml:space="preserve">VTE-1: </w:t>
            </w:r>
            <w:r w:rsidR="00800C24" w:rsidRPr="00800C24">
              <w:t>The Measure Steward does not identify specific numerator exclusions beyond what is described in the numerator description.</w:t>
            </w:r>
          </w:p>
          <w:p w14:paraId="3699BF86" w14:textId="77777777" w:rsidR="00FC18E8" w:rsidRDefault="00593D3C" w:rsidP="00455A4D">
            <w:pPr>
              <w:pStyle w:val="NoSpacing"/>
              <w:numPr>
                <w:ilvl w:val="0"/>
                <w:numId w:val="13"/>
              </w:numPr>
            </w:pPr>
            <w:r>
              <w:t xml:space="preserve">VTE-2: </w:t>
            </w:r>
            <w:r w:rsidR="00800C24" w:rsidRPr="00800C24">
              <w:t>The Measure Steward does not identify specific numerator exclusions beyond what is described in the numerator description.</w:t>
            </w:r>
          </w:p>
          <w:p w14:paraId="1FF0304B" w14:textId="43553F50" w:rsidR="00455A4D" w:rsidRDefault="00455A4D" w:rsidP="00455A4D">
            <w:pPr>
              <w:pStyle w:val="NoSpacing"/>
              <w:numPr>
                <w:ilvl w:val="0"/>
                <w:numId w:val="13"/>
              </w:numPr>
            </w:pPr>
            <w:r>
              <w:t xml:space="preserve">VTE-3: Patients who received warfarin and parenteral </w:t>
            </w:r>
            <w:r>
              <w:lastRenderedPageBreak/>
              <w:t>anticoagulation:</w:t>
            </w:r>
          </w:p>
          <w:p w14:paraId="1FF0304C" w14:textId="77777777" w:rsidR="00455A4D" w:rsidRDefault="00455A4D" w:rsidP="00455A4D">
            <w:pPr>
              <w:pStyle w:val="NoSpacing"/>
              <w:numPr>
                <w:ilvl w:val="1"/>
                <w:numId w:val="13"/>
              </w:numPr>
            </w:pPr>
            <w:r>
              <w:t xml:space="preserve">Five or more days, with an </w:t>
            </w:r>
            <w:r w:rsidR="008268C1">
              <w:t>international normalized ratio (</w:t>
            </w:r>
            <w:r>
              <w:t>INR</w:t>
            </w:r>
            <w:r w:rsidR="008268C1">
              <w:t>)</w:t>
            </w:r>
            <w:r>
              <w:t xml:space="preserve"> greater than or equal to 2 prior to discontinuation of parenteral therapy OR</w:t>
            </w:r>
          </w:p>
          <w:p w14:paraId="1FF0304D" w14:textId="77777777" w:rsidR="00455A4D" w:rsidRDefault="00455A4D" w:rsidP="00455A4D">
            <w:pPr>
              <w:pStyle w:val="NoSpacing"/>
              <w:numPr>
                <w:ilvl w:val="1"/>
                <w:numId w:val="13"/>
              </w:numPr>
            </w:pPr>
            <w:r>
              <w:t>Five or more days, with an INR less than 2 and discharged on overlap therapy OR</w:t>
            </w:r>
          </w:p>
          <w:p w14:paraId="1FF0304E" w14:textId="77777777" w:rsidR="00455A4D" w:rsidRDefault="00455A4D" w:rsidP="00455A4D">
            <w:pPr>
              <w:pStyle w:val="NoSpacing"/>
              <w:numPr>
                <w:ilvl w:val="1"/>
                <w:numId w:val="13"/>
              </w:numPr>
            </w:pPr>
            <w:r>
              <w:t>Less than five days and discharged on overlap therapy OR</w:t>
            </w:r>
          </w:p>
          <w:p w14:paraId="1FF0304F" w14:textId="77777777" w:rsidR="00455A4D" w:rsidRDefault="00455A4D" w:rsidP="00455A4D">
            <w:pPr>
              <w:pStyle w:val="NoSpacing"/>
              <w:numPr>
                <w:ilvl w:val="1"/>
                <w:numId w:val="13"/>
              </w:numPr>
            </w:pPr>
            <w:r>
              <w:t>With documentation of reason for discontinuation of parenteral therapy OR</w:t>
            </w:r>
          </w:p>
          <w:p w14:paraId="1FF03050" w14:textId="77777777" w:rsidR="00455A4D" w:rsidRDefault="00455A4D" w:rsidP="00455A4D">
            <w:pPr>
              <w:pStyle w:val="NoSpacing"/>
              <w:numPr>
                <w:ilvl w:val="1"/>
                <w:numId w:val="13"/>
              </w:numPr>
            </w:pPr>
            <w:r>
              <w:t>With documentation of a reason for no overlap therapy</w:t>
            </w:r>
          </w:p>
          <w:p w14:paraId="52E0B9F7" w14:textId="77777777" w:rsidR="00B86EC4" w:rsidRDefault="008F6CB0" w:rsidP="00B86EC4">
            <w:pPr>
              <w:pStyle w:val="NoSpacing"/>
              <w:numPr>
                <w:ilvl w:val="0"/>
                <w:numId w:val="13"/>
              </w:numPr>
            </w:pPr>
            <w:r>
              <w:t xml:space="preserve">VTE-4: </w:t>
            </w:r>
            <w:r w:rsidR="004D3C97" w:rsidRPr="004D3C97">
              <w:t>The Measure Steward does not identify specific numerator exclusions beyond what is described in the numerator description.</w:t>
            </w:r>
          </w:p>
          <w:p w14:paraId="1FF03056" w14:textId="124B08C2" w:rsidR="008F6CB0" w:rsidRPr="001A6012" w:rsidRDefault="008F6CB0" w:rsidP="00B86EC4">
            <w:pPr>
              <w:pStyle w:val="NoSpacing"/>
              <w:numPr>
                <w:ilvl w:val="0"/>
                <w:numId w:val="13"/>
              </w:numPr>
            </w:pPr>
            <w:r>
              <w:t xml:space="preserve">VTE-5: </w:t>
            </w:r>
            <w:r w:rsidR="004D3C97" w:rsidRPr="004D3C97">
              <w:t>The Measure Steward does not identify specific numerator exclusions beyond what is described in the numerator description.</w:t>
            </w:r>
          </w:p>
          <w:p w14:paraId="1FF03057" w14:textId="4B097E9E" w:rsidR="00AA5003" w:rsidRPr="00455A4D" w:rsidRDefault="00AA5003" w:rsidP="00AA5003">
            <w:pPr>
              <w:pStyle w:val="NoSpacing"/>
              <w:numPr>
                <w:ilvl w:val="0"/>
                <w:numId w:val="13"/>
              </w:numPr>
            </w:pPr>
            <w:r>
              <w:t xml:space="preserve">VTE-6: </w:t>
            </w:r>
            <w:r w:rsidR="004D3C97" w:rsidRPr="004D3C97">
              <w:t>The Measure Steward does not identify specific numerator exclusions beyond what is described in the numerator description.</w:t>
            </w:r>
          </w:p>
        </w:tc>
      </w:tr>
      <w:tr w:rsidR="00AC3A97" w14:paraId="1FF03060" w14:textId="77777777" w:rsidTr="00800C24">
        <w:tc>
          <w:tcPr>
            <w:tcW w:w="2628" w:type="dxa"/>
          </w:tcPr>
          <w:p w14:paraId="1FF03059" w14:textId="77777777" w:rsidR="00AC3A97" w:rsidRPr="00717546" w:rsidRDefault="00AC3A97" w:rsidP="00AF103E">
            <w:pPr>
              <w:pStyle w:val="NoSpacing"/>
              <w:rPr>
                <w:b/>
              </w:rPr>
            </w:pPr>
            <w:r>
              <w:rPr>
                <w:b/>
              </w:rPr>
              <w:lastRenderedPageBreak/>
              <w:t>Numerator Exclusions</w:t>
            </w:r>
          </w:p>
        </w:tc>
        <w:tc>
          <w:tcPr>
            <w:tcW w:w="6948" w:type="dxa"/>
            <w:gridSpan w:val="3"/>
          </w:tcPr>
          <w:p w14:paraId="1FF0305A" w14:textId="77777777" w:rsidR="00AC3A97" w:rsidRDefault="00593D3C" w:rsidP="00593D3C">
            <w:pPr>
              <w:pStyle w:val="NoSpacing"/>
              <w:numPr>
                <w:ilvl w:val="0"/>
                <w:numId w:val="13"/>
              </w:numPr>
            </w:pPr>
            <w:r>
              <w:t xml:space="preserve">VTE-1: </w:t>
            </w:r>
            <w:r w:rsidR="009F04D0">
              <w:t>The Measure Steward does not identify specific numerator exclusions beyond what is described</w:t>
            </w:r>
            <w:r>
              <w:t xml:space="preserve"> in the numerator description.</w:t>
            </w:r>
          </w:p>
          <w:p w14:paraId="1FF0305B" w14:textId="77777777" w:rsidR="00593D3C" w:rsidRDefault="00593D3C" w:rsidP="00593D3C">
            <w:pPr>
              <w:pStyle w:val="NoSpacing"/>
              <w:numPr>
                <w:ilvl w:val="0"/>
                <w:numId w:val="13"/>
              </w:numPr>
            </w:pPr>
            <w:r>
              <w:t>VTE-2: The Measure Steward does not identify specific numerator exclusions beyond what is described in the numerator description.</w:t>
            </w:r>
          </w:p>
          <w:p w14:paraId="1FF0305C" w14:textId="77777777" w:rsidR="00455A4D" w:rsidRDefault="00455A4D" w:rsidP="00455A4D">
            <w:pPr>
              <w:pStyle w:val="NoSpacing"/>
              <w:numPr>
                <w:ilvl w:val="0"/>
                <w:numId w:val="13"/>
              </w:numPr>
            </w:pPr>
            <w:r>
              <w:t>VTE-3: The Measure Steward does not identify specific numerator exclusions beyond what is described in the numerator description.</w:t>
            </w:r>
          </w:p>
          <w:p w14:paraId="1FF0305D" w14:textId="77777777" w:rsidR="008F6CB0" w:rsidRDefault="008F6CB0" w:rsidP="008F6CB0">
            <w:pPr>
              <w:pStyle w:val="NoSpacing"/>
              <w:numPr>
                <w:ilvl w:val="0"/>
                <w:numId w:val="13"/>
              </w:numPr>
            </w:pPr>
            <w:r>
              <w:t>VTE-4: The Measure Steward does not identify specific numerator exclusions beyond what is described in the numerator description.</w:t>
            </w:r>
          </w:p>
          <w:p w14:paraId="1FF0305E" w14:textId="77777777" w:rsidR="008F6CB0" w:rsidRDefault="008F6CB0" w:rsidP="008F6CB0">
            <w:pPr>
              <w:pStyle w:val="NoSpacing"/>
              <w:numPr>
                <w:ilvl w:val="0"/>
                <w:numId w:val="13"/>
              </w:numPr>
            </w:pPr>
            <w:r>
              <w:t>VTE-5: The Measure Steward does not identify specific numerator exclusions beyond what is described in the numerator description.</w:t>
            </w:r>
          </w:p>
          <w:p w14:paraId="1FF0305F" w14:textId="77777777" w:rsidR="00AA5003" w:rsidRPr="001D6BEA" w:rsidRDefault="00F462E2" w:rsidP="00AA5003">
            <w:pPr>
              <w:pStyle w:val="NoSpacing"/>
              <w:numPr>
                <w:ilvl w:val="0"/>
                <w:numId w:val="13"/>
              </w:numPr>
            </w:pPr>
            <w:r>
              <w:t>VTE-6</w:t>
            </w:r>
            <w:r w:rsidR="00AA5003">
              <w:t>: The Measure Steward does not identify specific numerator exclusions beyond what is described in the numerator description.</w:t>
            </w:r>
          </w:p>
        </w:tc>
      </w:tr>
      <w:tr w:rsidR="00AD706B" w14:paraId="1FF03063" w14:textId="77777777" w:rsidTr="00800C24">
        <w:tc>
          <w:tcPr>
            <w:tcW w:w="2628" w:type="dxa"/>
          </w:tcPr>
          <w:p w14:paraId="1FF03061" w14:textId="77777777" w:rsidR="00AD706B" w:rsidRPr="00717546" w:rsidRDefault="00AD706B" w:rsidP="00A374B8">
            <w:pPr>
              <w:pStyle w:val="NoSpacing"/>
              <w:rPr>
                <w:b/>
              </w:rPr>
            </w:pPr>
            <w:r>
              <w:rPr>
                <w:b/>
              </w:rPr>
              <w:t>Setting</w:t>
            </w:r>
          </w:p>
        </w:tc>
        <w:tc>
          <w:tcPr>
            <w:tcW w:w="6948" w:type="dxa"/>
            <w:gridSpan w:val="3"/>
          </w:tcPr>
          <w:p w14:paraId="1FF03062" w14:textId="77777777" w:rsidR="00AD706B" w:rsidRDefault="0059537A" w:rsidP="00CD7069">
            <w:pPr>
              <w:pStyle w:val="NoSpacing"/>
            </w:pPr>
            <w:r>
              <w:t xml:space="preserve">Inpatient </w:t>
            </w:r>
          </w:p>
        </w:tc>
      </w:tr>
      <w:tr w:rsidR="00AD706B" w14:paraId="1FF03066" w14:textId="77777777" w:rsidTr="00800C24">
        <w:tc>
          <w:tcPr>
            <w:tcW w:w="2628" w:type="dxa"/>
          </w:tcPr>
          <w:p w14:paraId="1FF03064" w14:textId="77777777" w:rsidR="00AD706B" w:rsidRDefault="00AD706B" w:rsidP="00A374B8">
            <w:pPr>
              <w:pStyle w:val="NoSpacing"/>
              <w:rPr>
                <w:b/>
              </w:rPr>
            </w:pPr>
            <w:r>
              <w:rPr>
                <w:b/>
              </w:rPr>
              <w:t>Data Source</w:t>
            </w:r>
          </w:p>
        </w:tc>
        <w:tc>
          <w:tcPr>
            <w:tcW w:w="6948" w:type="dxa"/>
            <w:gridSpan w:val="3"/>
          </w:tcPr>
          <w:p w14:paraId="1FF03065" w14:textId="77777777" w:rsidR="0059537A" w:rsidRDefault="00AF3A3D" w:rsidP="008A2FDC">
            <w:pPr>
              <w:pStyle w:val="NoSpacing"/>
            </w:pPr>
            <w:r>
              <w:t>Administ</w:t>
            </w:r>
            <w:r w:rsidR="008A2FDC">
              <w:t>rative/Clinical data sources</w:t>
            </w:r>
          </w:p>
        </w:tc>
      </w:tr>
      <w:tr w:rsidR="00AD706B" w14:paraId="1FF03085" w14:textId="77777777" w:rsidTr="00800C24">
        <w:tc>
          <w:tcPr>
            <w:tcW w:w="2628" w:type="dxa"/>
          </w:tcPr>
          <w:p w14:paraId="1FF03067" w14:textId="77777777" w:rsidR="00AD706B" w:rsidRPr="00717546" w:rsidRDefault="00416E44" w:rsidP="00F05C01">
            <w:pPr>
              <w:pStyle w:val="NoSpacing"/>
              <w:rPr>
                <w:b/>
              </w:rPr>
            </w:pPr>
            <w:r>
              <w:rPr>
                <w:b/>
              </w:rPr>
              <w:t xml:space="preserve">Denominator </w:t>
            </w:r>
            <w:r w:rsidR="008D1A8E">
              <w:rPr>
                <w:b/>
              </w:rPr>
              <w:t xml:space="preserve">Sub-set </w:t>
            </w:r>
            <w:r>
              <w:rPr>
                <w:b/>
              </w:rPr>
              <w:t>Definition (Optional)</w:t>
            </w:r>
            <w:r w:rsidR="00CA4C08">
              <w:rPr>
                <w:b/>
              </w:rPr>
              <w:t xml:space="preserve"> </w:t>
            </w:r>
          </w:p>
        </w:tc>
        <w:tc>
          <w:tcPr>
            <w:tcW w:w="6948" w:type="dxa"/>
            <w:gridSpan w:val="3"/>
          </w:tcPr>
          <w:p w14:paraId="1FF03069" w14:textId="1C19BDB4" w:rsidR="00416E44" w:rsidRDefault="00963FB7" w:rsidP="00A374B8">
            <w:pPr>
              <w:pStyle w:val="NoSpacing"/>
            </w:pPr>
            <w:r>
              <w:t>Providers have the option to further narrow the denominator population for this measure across one or more of the following domains.  If providers wish to use this option, they must indicate their preference to HHSC through the measure selection process.</w:t>
            </w:r>
          </w:p>
          <w:p w14:paraId="1FF0306A" w14:textId="77777777" w:rsidR="007F7C07" w:rsidRDefault="00416E44" w:rsidP="00A374B8">
            <w:pPr>
              <w:pStyle w:val="NoSpacing"/>
            </w:pPr>
            <w:r w:rsidRPr="00416E44">
              <w:rPr>
                <w:b/>
              </w:rPr>
              <w:t>Payer:</w:t>
            </w:r>
            <w:r>
              <w:t xml:space="preserve"> Providers may </w:t>
            </w:r>
            <w:r w:rsidR="007F7C07">
              <w:t>define</w:t>
            </w:r>
            <w:r>
              <w:t xml:space="preserve"> the denominator population </w:t>
            </w:r>
            <w:r w:rsidR="007F7C07">
              <w:t xml:space="preserve">such that it is limited </w:t>
            </w:r>
            <w:r>
              <w:t xml:space="preserve">to one of the following options: </w:t>
            </w:r>
          </w:p>
          <w:p w14:paraId="1FF0306B" w14:textId="77777777" w:rsidR="007F7C07" w:rsidRDefault="00416E44" w:rsidP="007F7C07">
            <w:pPr>
              <w:pStyle w:val="NoSpacing"/>
              <w:numPr>
                <w:ilvl w:val="0"/>
                <w:numId w:val="5"/>
              </w:numPr>
            </w:pPr>
            <w:r>
              <w:t>Medicaid</w:t>
            </w:r>
          </w:p>
          <w:p w14:paraId="1FF0306C" w14:textId="77777777" w:rsidR="007F7C07" w:rsidRDefault="007F7C07" w:rsidP="007F7C07">
            <w:pPr>
              <w:pStyle w:val="NoSpacing"/>
              <w:numPr>
                <w:ilvl w:val="0"/>
                <w:numId w:val="5"/>
              </w:numPr>
            </w:pPr>
            <w:r>
              <w:t>Uninsured</w:t>
            </w:r>
            <w:r w:rsidR="00366D0B">
              <w:t>/Indigent</w:t>
            </w:r>
          </w:p>
          <w:p w14:paraId="1FF0306D" w14:textId="77777777" w:rsidR="00366D0B" w:rsidRDefault="00366D0B" w:rsidP="007F7C07">
            <w:pPr>
              <w:pStyle w:val="NoSpacing"/>
              <w:numPr>
                <w:ilvl w:val="0"/>
                <w:numId w:val="5"/>
              </w:numPr>
            </w:pPr>
            <w:r>
              <w:t>Both: Medicaid and Uninsured/Indigent</w:t>
            </w:r>
          </w:p>
          <w:p w14:paraId="1FF0306E" w14:textId="77777777" w:rsidR="000E7EED" w:rsidRDefault="000E7EED" w:rsidP="00A374B8">
            <w:pPr>
              <w:pStyle w:val="NoSpacing"/>
            </w:pPr>
          </w:p>
          <w:p w14:paraId="1FF0306F" w14:textId="77777777" w:rsidR="00CA4C08" w:rsidRDefault="007F7C07" w:rsidP="00CA4C08">
            <w:pPr>
              <w:pStyle w:val="NoSpacing"/>
            </w:pPr>
            <w:r w:rsidRPr="007F7C07">
              <w:rPr>
                <w:b/>
              </w:rPr>
              <w:t>Gender:</w:t>
            </w:r>
            <w:r>
              <w:t xml:space="preserve"> Providers may define the denominator population such that it is limited to one of the following options:</w:t>
            </w:r>
          </w:p>
          <w:p w14:paraId="1FF03070" w14:textId="77777777" w:rsidR="007F7C07" w:rsidRDefault="007F7C07" w:rsidP="007F7C07">
            <w:pPr>
              <w:pStyle w:val="NoSpacing"/>
              <w:numPr>
                <w:ilvl w:val="0"/>
                <w:numId w:val="6"/>
              </w:numPr>
            </w:pPr>
            <w:r>
              <w:t>Male</w:t>
            </w:r>
          </w:p>
          <w:p w14:paraId="1FF03071" w14:textId="77777777" w:rsidR="007F7C07" w:rsidRDefault="007F7C07" w:rsidP="007F7C07">
            <w:pPr>
              <w:pStyle w:val="NoSpacing"/>
              <w:numPr>
                <w:ilvl w:val="0"/>
                <w:numId w:val="6"/>
              </w:numPr>
            </w:pPr>
            <w:r>
              <w:t>Female</w:t>
            </w:r>
          </w:p>
          <w:p w14:paraId="1FF03072" w14:textId="77777777" w:rsidR="007F7C07" w:rsidRDefault="007F7C07" w:rsidP="00CA4C08">
            <w:pPr>
              <w:pStyle w:val="NoSpacing"/>
            </w:pPr>
          </w:p>
          <w:p w14:paraId="1FF03073" w14:textId="77777777" w:rsidR="007F7C07" w:rsidRDefault="007F7C07" w:rsidP="00CA4C08">
            <w:pPr>
              <w:pStyle w:val="NoSpacing"/>
            </w:pPr>
            <w:r w:rsidRPr="007F7C07">
              <w:rPr>
                <w:b/>
              </w:rPr>
              <w:t>Ethnicity:</w:t>
            </w:r>
            <w:r>
              <w:t xml:space="preserve"> Providers may define the denominator population such that it is </w:t>
            </w:r>
            <w:r>
              <w:lastRenderedPageBreak/>
              <w:t>limited to one of the following options:</w:t>
            </w:r>
          </w:p>
          <w:p w14:paraId="1FF03074" w14:textId="77777777" w:rsidR="007F7C07" w:rsidRDefault="007F7C07" w:rsidP="007F7C07">
            <w:pPr>
              <w:pStyle w:val="NoSpacing"/>
              <w:numPr>
                <w:ilvl w:val="0"/>
                <w:numId w:val="7"/>
              </w:numPr>
            </w:pPr>
            <w:r>
              <w:t>White/Caucasian</w:t>
            </w:r>
          </w:p>
          <w:p w14:paraId="1FF03075" w14:textId="77777777" w:rsidR="007F7C07" w:rsidRDefault="007F7C07" w:rsidP="007F7C07">
            <w:pPr>
              <w:pStyle w:val="NoSpacing"/>
              <w:numPr>
                <w:ilvl w:val="0"/>
                <w:numId w:val="7"/>
              </w:numPr>
            </w:pPr>
            <w:r>
              <w:t>Black/African American</w:t>
            </w:r>
          </w:p>
          <w:p w14:paraId="1FF03076" w14:textId="77777777" w:rsidR="007F7C07" w:rsidRDefault="007F7C07" w:rsidP="007F7C07">
            <w:pPr>
              <w:pStyle w:val="NoSpacing"/>
              <w:numPr>
                <w:ilvl w:val="0"/>
                <w:numId w:val="7"/>
              </w:numPr>
            </w:pPr>
            <w:r>
              <w:t>Latino/Hispanic</w:t>
            </w:r>
          </w:p>
          <w:p w14:paraId="1FF03077" w14:textId="77777777" w:rsidR="007F7C07" w:rsidRDefault="007F7C07" w:rsidP="007F7C07">
            <w:pPr>
              <w:pStyle w:val="NoSpacing"/>
              <w:numPr>
                <w:ilvl w:val="0"/>
                <w:numId w:val="7"/>
              </w:numPr>
            </w:pPr>
            <w:r>
              <w:t>Asian</w:t>
            </w:r>
          </w:p>
          <w:p w14:paraId="1FF03078" w14:textId="77777777" w:rsidR="007F7C07" w:rsidRDefault="007F7C07" w:rsidP="007F7C07">
            <w:pPr>
              <w:pStyle w:val="NoSpacing"/>
              <w:numPr>
                <w:ilvl w:val="0"/>
                <w:numId w:val="7"/>
              </w:numPr>
            </w:pPr>
            <w:r>
              <w:t>American Indian/Alaskan Native</w:t>
            </w:r>
          </w:p>
          <w:p w14:paraId="1FF03079" w14:textId="77777777" w:rsidR="007F7C07" w:rsidRDefault="007F7C07" w:rsidP="007F7C07">
            <w:pPr>
              <w:pStyle w:val="NoSpacing"/>
              <w:numPr>
                <w:ilvl w:val="0"/>
                <w:numId w:val="7"/>
              </w:numPr>
            </w:pPr>
            <w:r>
              <w:t>Native Hawaiian/Other Pacific Islander</w:t>
            </w:r>
          </w:p>
          <w:p w14:paraId="1FF0307A" w14:textId="77777777" w:rsidR="007F7C07" w:rsidRDefault="007F7C07" w:rsidP="00CA4C08">
            <w:pPr>
              <w:pStyle w:val="NoSpacing"/>
            </w:pPr>
          </w:p>
          <w:p w14:paraId="1FF0307B" w14:textId="77777777" w:rsidR="007F7C07" w:rsidRDefault="007F7C07" w:rsidP="00CA4C08">
            <w:pPr>
              <w:pStyle w:val="NoSpacing"/>
            </w:pPr>
            <w:r w:rsidRPr="007F7C07">
              <w:rPr>
                <w:b/>
              </w:rPr>
              <w:t>Age:</w:t>
            </w:r>
            <w:r>
              <w:t xml:space="preserve"> Providers may define the denominator population such that it is limited to an age range:</w:t>
            </w:r>
          </w:p>
          <w:p w14:paraId="1FF0307C" w14:textId="77777777" w:rsidR="007F7C07" w:rsidRDefault="007F7C07" w:rsidP="007F7C07">
            <w:pPr>
              <w:pStyle w:val="NoSpacing"/>
              <w:ind w:left="720"/>
            </w:pPr>
            <w:r>
              <w:t>Lower Bound: ____ (Provider defined)</w:t>
            </w:r>
          </w:p>
          <w:p w14:paraId="1FF0307D" w14:textId="77777777" w:rsidR="007F7C07" w:rsidRDefault="007F7C07" w:rsidP="007F7C07">
            <w:pPr>
              <w:pStyle w:val="NoSpacing"/>
              <w:ind w:left="720"/>
            </w:pPr>
            <w:r>
              <w:t>Upper Bound: ____ (Provider defined)</w:t>
            </w:r>
          </w:p>
          <w:p w14:paraId="1FF0307E" w14:textId="77777777" w:rsidR="00CA4C08" w:rsidRDefault="00CA4C08" w:rsidP="00CA4C08">
            <w:pPr>
              <w:pStyle w:val="NoSpacing"/>
            </w:pPr>
          </w:p>
          <w:p w14:paraId="1FF0307F" w14:textId="34A6DB13" w:rsidR="007F7C07" w:rsidRDefault="007F7C07" w:rsidP="007F7C07">
            <w:pPr>
              <w:pStyle w:val="NoSpacing"/>
            </w:pPr>
            <w:r>
              <w:rPr>
                <w:b/>
              </w:rPr>
              <w:t>Comorbid Condition</w:t>
            </w:r>
            <w:r w:rsidRPr="007F7C07">
              <w:rPr>
                <w:b/>
              </w:rPr>
              <w:t>:</w:t>
            </w:r>
            <w:r>
              <w:t xml:space="preserve"> </w:t>
            </w:r>
            <w:r w:rsidR="00963FB7">
              <w:t xml:space="preserve"> Providers may define the denominator population such that it is limited to individuals with one or more comorbid conditions:</w:t>
            </w:r>
          </w:p>
          <w:p w14:paraId="1FF03080" w14:textId="77777777" w:rsidR="007F7C07" w:rsidRDefault="007F7C07" w:rsidP="00A82574">
            <w:pPr>
              <w:pStyle w:val="NoSpacing"/>
              <w:ind w:left="720"/>
            </w:pPr>
            <w:r>
              <w:t>Comorbid condition: ______________ (Provider defined)</w:t>
            </w:r>
          </w:p>
          <w:p w14:paraId="1FF03081" w14:textId="77777777" w:rsidR="007F7C07" w:rsidRDefault="007F7C07" w:rsidP="00CA4C08">
            <w:pPr>
              <w:pStyle w:val="NoSpacing"/>
            </w:pPr>
          </w:p>
          <w:p w14:paraId="1FF03082" w14:textId="77777777" w:rsidR="007F7C07" w:rsidRDefault="007F7C07" w:rsidP="00CA4C08">
            <w:pPr>
              <w:pStyle w:val="NoSpacing"/>
            </w:pPr>
            <w:r w:rsidRPr="007F7C07">
              <w:rPr>
                <w:b/>
              </w:rPr>
              <w:t>Setting/Location:</w:t>
            </w:r>
            <w:r>
              <w:t xml:space="preserve"> Providers may define the denominator population such that it is limited to individuals receiving services in a specific setting or service delivery location(s).</w:t>
            </w:r>
          </w:p>
          <w:p w14:paraId="1FF03083" w14:textId="77777777" w:rsidR="007F7C07" w:rsidRDefault="007F7C07" w:rsidP="00A82574">
            <w:pPr>
              <w:pStyle w:val="NoSpacing"/>
              <w:ind w:left="720"/>
            </w:pPr>
            <w:r>
              <w:t xml:space="preserve">Service Setting/Delivery Location(s): ______________ (Provider defined) </w:t>
            </w:r>
          </w:p>
          <w:p w14:paraId="1FF03084" w14:textId="77777777" w:rsidR="00F927B0" w:rsidRDefault="00CA4C08" w:rsidP="007F7C07">
            <w:pPr>
              <w:pStyle w:val="NoSpacing"/>
            </w:pPr>
            <w:r>
              <w:t> </w:t>
            </w:r>
          </w:p>
        </w:tc>
      </w:tr>
      <w:tr w:rsidR="00AD706B" w14:paraId="1FF0308D" w14:textId="77777777" w:rsidTr="00632A34">
        <w:tc>
          <w:tcPr>
            <w:tcW w:w="2628" w:type="dxa"/>
          </w:tcPr>
          <w:p w14:paraId="1FF03086" w14:textId="77777777" w:rsidR="00AD706B" w:rsidRDefault="00AD706B" w:rsidP="00A374B8">
            <w:pPr>
              <w:pStyle w:val="NoSpacing"/>
              <w:rPr>
                <w:b/>
              </w:rPr>
            </w:pPr>
            <w:r>
              <w:rPr>
                <w:b/>
              </w:rPr>
              <w:lastRenderedPageBreak/>
              <w:t>Demonstration Years</w:t>
            </w:r>
          </w:p>
        </w:tc>
        <w:tc>
          <w:tcPr>
            <w:tcW w:w="2340" w:type="dxa"/>
            <w:shd w:val="clear" w:color="auto" w:fill="D9D9D9" w:themeFill="background1" w:themeFillShade="D9"/>
          </w:tcPr>
          <w:p w14:paraId="1FF03087" w14:textId="77777777" w:rsidR="00AD706B" w:rsidRPr="0031250D" w:rsidRDefault="00AD706B" w:rsidP="00A374B8">
            <w:pPr>
              <w:pStyle w:val="NoSpacing"/>
              <w:jc w:val="center"/>
              <w:rPr>
                <w:b/>
              </w:rPr>
            </w:pPr>
            <w:r w:rsidRPr="0031250D">
              <w:rPr>
                <w:b/>
              </w:rPr>
              <w:t>DY3</w:t>
            </w:r>
          </w:p>
          <w:p w14:paraId="1FF03088" w14:textId="77777777" w:rsidR="00AD706B" w:rsidRPr="0031250D" w:rsidRDefault="00AD706B" w:rsidP="00A374B8">
            <w:pPr>
              <w:pStyle w:val="NoSpacing"/>
              <w:jc w:val="center"/>
              <w:rPr>
                <w:b/>
              </w:rPr>
            </w:pPr>
            <w:r w:rsidRPr="0031250D">
              <w:rPr>
                <w:b/>
              </w:rPr>
              <w:t>10/0</w:t>
            </w:r>
            <w:r>
              <w:rPr>
                <w:b/>
              </w:rPr>
              <w:t>1/13 – 09</w:t>
            </w:r>
            <w:r w:rsidRPr="0031250D">
              <w:rPr>
                <w:b/>
              </w:rPr>
              <w:t>/30/14</w:t>
            </w:r>
          </w:p>
        </w:tc>
        <w:tc>
          <w:tcPr>
            <w:tcW w:w="2250" w:type="dxa"/>
            <w:shd w:val="clear" w:color="auto" w:fill="D9D9D9" w:themeFill="background1" w:themeFillShade="D9"/>
          </w:tcPr>
          <w:p w14:paraId="1FF03089" w14:textId="77777777" w:rsidR="00AD706B" w:rsidRPr="0031250D" w:rsidRDefault="00AD706B" w:rsidP="00A374B8">
            <w:pPr>
              <w:pStyle w:val="NoSpacing"/>
              <w:jc w:val="center"/>
              <w:rPr>
                <w:b/>
              </w:rPr>
            </w:pPr>
            <w:r w:rsidRPr="0031250D">
              <w:rPr>
                <w:b/>
              </w:rPr>
              <w:t>DY4</w:t>
            </w:r>
          </w:p>
          <w:p w14:paraId="1FF0308A" w14:textId="77777777" w:rsidR="00AD706B" w:rsidRPr="0031250D" w:rsidRDefault="00AD706B" w:rsidP="00A374B8">
            <w:pPr>
              <w:pStyle w:val="NoSpacing"/>
              <w:jc w:val="center"/>
              <w:rPr>
                <w:b/>
              </w:rPr>
            </w:pPr>
            <w:r w:rsidRPr="0031250D">
              <w:rPr>
                <w:b/>
              </w:rPr>
              <w:t>10/0</w:t>
            </w:r>
            <w:r>
              <w:rPr>
                <w:b/>
              </w:rPr>
              <w:t>1/14 – 09</w:t>
            </w:r>
            <w:r w:rsidRPr="0031250D">
              <w:rPr>
                <w:b/>
              </w:rPr>
              <w:t>/30/</w:t>
            </w:r>
            <w:r>
              <w:rPr>
                <w:b/>
              </w:rPr>
              <w:t>15</w:t>
            </w:r>
          </w:p>
        </w:tc>
        <w:tc>
          <w:tcPr>
            <w:tcW w:w="2358" w:type="dxa"/>
            <w:shd w:val="clear" w:color="auto" w:fill="D9D9D9" w:themeFill="background1" w:themeFillShade="D9"/>
          </w:tcPr>
          <w:p w14:paraId="1FF0308B" w14:textId="77777777" w:rsidR="00AD706B" w:rsidRPr="0031250D" w:rsidRDefault="00AD706B" w:rsidP="00A374B8">
            <w:pPr>
              <w:pStyle w:val="NoSpacing"/>
              <w:jc w:val="center"/>
              <w:rPr>
                <w:b/>
              </w:rPr>
            </w:pPr>
            <w:r w:rsidRPr="0031250D">
              <w:rPr>
                <w:b/>
              </w:rPr>
              <w:t>DY5</w:t>
            </w:r>
          </w:p>
          <w:p w14:paraId="1FF0308C" w14:textId="77777777" w:rsidR="00AD706B" w:rsidRPr="0031250D" w:rsidRDefault="00AD706B" w:rsidP="00A374B8">
            <w:pPr>
              <w:pStyle w:val="NoSpacing"/>
              <w:jc w:val="center"/>
              <w:rPr>
                <w:b/>
              </w:rPr>
            </w:pPr>
            <w:r w:rsidRPr="0031250D">
              <w:rPr>
                <w:b/>
              </w:rPr>
              <w:t>10/0</w:t>
            </w:r>
            <w:r>
              <w:rPr>
                <w:b/>
              </w:rPr>
              <w:t>1/15 – 09</w:t>
            </w:r>
            <w:r w:rsidRPr="0031250D">
              <w:rPr>
                <w:b/>
              </w:rPr>
              <w:t>/30/</w:t>
            </w:r>
            <w:r>
              <w:rPr>
                <w:b/>
              </w:rPr>
              <w:t>16</w:t>
            </w:r>
          </w:p>
        </w:tc>
      </w:tr>
      <w:tr w:rsidR="00AD706B" w14:paraId="1FF0309F" w14:textId="77777777" w:rsidTr="00632A34">
        <w:tc>
          <w:tcPr>
            <w:tcW w:w="2628" w:type="dxa"/>
          </w:tcPr>
          <w:p w14:paraId="1FF0308E" w14:textId="77777777" w:rsidR="00AD706B" w:rsidRDefault="00AD706B" w:rsidP="00A374B8">
            <w:pPr>
              <w:pStyle w:val="NoSpacing"/>
              <w:rPr>
                <w:b/>
              </w:rPr>
            </w:pPr>
            <w:r>
              <w:rPr>
                <w:b/>
              </w:rPr>
              <w:t>Measurement Periods</w:t>
            </w:r>
          </w:p>
          <w:p w14:paraId="1FF0308F" w14:textId="77777777" w:rsidR="007C728B" w:rsidRDefault="007C728B" w:rsidP="00A374B8">
            <w:pPr>
              <w:pStyle w:val="NoSpacing"/>
              <w:rPr>
                <w:b/>
              </w:rPr>
            </w:pPr>
          </w:p>
          <w:p w14:paraId="1FF03090" w14:textId="77777777" w:rsidR="007C728B" w:rsidRPr="0011709A" w:rsidRDefault="007C728B" w:rsidP="007C728B">
            <w:pPr>
              <w:pStyle w:val="NoSpacing"/>
              <w:rPr>
                <w:i/>
              </w:rPr>
            </w:pPr>
            <w:r w:rsidRPr="0011709A">
              <w:rPr>
                <w:i/>
              </w:rPr>
              <w:t>(</w:t>
            </w:r>
            <w:r w:rsidR="0011709A">
              <w:rPr>
                <w:i/>
              </w:rPr>
              <w:t xml:space="preserve">Note: </w:t>
            </w:r>
            <w:r w:rsidRPr="0011709A">
              <w:rPr>
                <w:i/>
              </w:rPr>
              <w:t>For P4P measures, DY3 Measurement Period is equivalent to the Baseline Period for purposes of measuring improvement.)</w:t>
            </w:r>
          </w:p>
        </w:tc>
        <w:tc>
          <w:tcPr>
            <w:tcW w:w="2340" w:type="dxa"/>
          </w:tcPr>
          <w:p w14:paraId="2AFA61A3" w14:textId="77777777" w:rsidR="00963FB7" w:rsidRDefault="00963FB7" w:rsidP="00963FB7">
            <w:pPr>
              <w:pStyle w:val="NoSpacing"/>
              <w:rPr>
                <w:rFonts w:ascii="Calibri" w:hAnsi="Calibri"/>
                <w:b/>
                <w:bCs/>
              </w:rPr>
            </w:pPr>
            <w:r>
              <w:rPr>
                <w:b/>
                <w:bCs/>
              </w:rPr>
              <w:t xml:space="preserve">Providers must report data for </w:t>
            </w:r>
            <w:r>
              <w:rPr>
                <w:b/>
                <w:bCs/>
                <w:u w:val="single"/>
              </w:rPr>
              <w:t>one</w:t>
            </w:r>
            <w:r>
              <w:rPr>
                <w:b/>
                <w:bCs/>
              </w:rPr>
              <w:t xml:space="preserve"> of the following DY, SFY, or CY time periods:</w:t>
            </w:r>
          </w:p>
          <w:p w14:paraId="62808494" w14:textId="77777777" w:rsidR="00963FB7" w:rsidRDefault="00963FB7" w:rsidP="00963FB7">
            <w:pPr>
              <w:pStyle w:val="NoSpacing"/>
            </w:pPr>
            <w:r>
              <w:rPr>
                <w:u w:val="single"/>
              </w:rPr>
              <w:t>12 Month Period</w:t>
            </w:r>
            <w:r>
              <w:t xml:space="preserve">: </w:t>
            </w:r>
          </w:p>
          <w:p w14:paraId="776AFDD9" w14:textId="77777777" w:rsidR="00963FB7" w:rsidRDefault="00963FB7" w:rsidP="00963FB7">
            <w:pPr>
              <w:pStyle w:val="NoSpacing"/>
              <w:numPr>
                <w:ilvl w:val="0"/>
                <w:numId w:val="26"/>
              </w:numPr>
              <w:ind w:left="504"/>
            </w:pPr>
            <w:r>
              <w:t xml:space="preserve">10/01/13 – 09/30/14, or </w:t>
            </w:r>
          </w:p>
          <w:p w14:paraId="5E997719" w14:textId="77777777" w:rsidR="00963FB7" w:rsidRDefault="00963FB7" w:rsidP="00963FB7">
            <w:pPr>
              <w:pStyle w:val="NoSpacing"/>
              <w:numPr>
                <w:ilvl w:val="0"/>
                <w:numId w:val="26"/>
              </w:numPr>
              <w:ind w:left="504"/>
            </w:pPr>
            <w:r>
              <w:t>09/01/13 – 08/31/14, or</w:t>
            </w:r>
          </w:p>
          <w:p w14:paraId="407AF14B" w14:textId="77777777" w:rsidR="00963FB7" w:rsidRDefault="00963FB7" w:rsidP="00963FB7">
            <w:pPr>
              <w:pStyle w:val="NoSpacing"/>
              <w:numPr>
                <w:ilvl w:val="0"/>
                <w:numId w:val="26"/>
              </w:numPr>
              <w:ind w:left="504"/>
            </w:pPr>
            <w:r>
              <w:t>01/01/13 – 12/31/13, or</w:t>
            </w:r>
          </w:p>
          <w:p w14:paraId="4787A3B6" w14:textId="77777777" w:rsidR="00963FB7" w:rsidRDefault="00963FB7" w:rsidP="00963FB7">
            <w:pPr>
              <w:pStyle w:val="NoSpacing"/>
              <w:numPr>
                <w:ilvl w:val="0"/>
                <w:numId w:val="26"/>
              </w:numPr>
              <w:ind w:left="504"/>
            </w:pPr>
            <w:r>
              <w:t>10/01/12 – 09/30/13, or</w:t>
            </w:r>
          </w:p>
          <w:p w14:paraId="39A05250" w14:textId="77777777" w:rsidR="00963FB7" w:rsidRDefault="00963FB7" w:rsidP="00963FB7">
            <w:pPr>
              <w:pStyle w:val="NoSpacing"/>
              <w:numPr>
                <w:ilvl w:val="0"/>
                <w:numId w:val="26"/>
              </w:numPr>
              <w:ind w:left="504"/>
            </w:pPr>
            <w:r>
              <w:t>09/01/12 – 08/31/13</w:t>
            </w:r>
          </w:p>
          <w:p w14:paraId="56828EB1" w14:textId="77777777" w:rsidR="00963FB7" w:rsidRDefault="00963FB7" w:rsidP="00963FB7">
            <w:pPr>
              <w:pStyle w:val="NoSpacing"/>
            </w:pPr>
            <w:r>
              <w:rPr>
                <w:u w:val="single"/>
              </w:rPr>
              <w:t>6 Month Period</w:t>
            </w:r>
            <w:r>
              <w:t xml:space="preserve">: </w:t>
            </w:r>
          </w:p>
          <w:p w14:paraId="69A90F04" w14:textId="77777777" w:rsidR="00963FB7" w:rsidRDefault="00963FB7" w:rsidP="00963FB7">
            <w:pPr>
              <w:pStyle w:val="NoSpacing"/>
              <w:numPr>
                <w:ilvl w:val="0"/>
                <w:numId w:val="27"/>
              </w:numPr>
              <w:ind w:left="504"/>
            </w:pPr>
            <w:r>
              <w:t>04/01/14 – 09/30/14, or</w:t>
            </w:r>
          </w:p>
          <w:p w14:paraId="15B1E9D1" w14:textId="77777777" w:rsidR="00963FB7" w:rsidRDefault="00963FB7" w:rsidP="00963FB7">
            <w:pPr>
              <w:pStyle w:val="NoSpacing"/>
              <w:numPr>
                <w:ilvl w:val="0"/>
                <w:numId w:val="27"/>
              </w:numPr>
              <w:ind w:left="504"/>
            </w:pPr>
            <w:r>
              <w:t>03/01/13 – 08/31/14, or</w:t>
            </w:r>
          </w:p>
          <w:p w14:paraId="6563B6D6" w14:textId="77777777" w:rsidR="00963FB7" w:rsidRDefault="00963FB7" w:rsidP="00963FB7">
            <w:pPr>
              <w:pStyle w:val="NoSpacing"/>
              <w:numPr>
                <w:ilvl w:val="0"/>
                <w:numId w:val="27"/>
              </w:numPr>
              <w:ind w:left="504"/>
            </w:pPr>
            <w:r>
              <w:t>01/01/13 – 06/30/13, or</w:t>
            </w:r>
          </w:p>
          <w:p w14:paraId="3D6A2D9F" w14:textId="77777777" w:rsidR="00963FB7" w:rsidRDefault="00963FB7" w:rsidP="00963FB7">
            <w:pPr>
              <w:pStyle w:val="NoSpacing"/>
              <w:numPr>
                <w:ilvl w:val="0"/>
                <w:numId w:val="27"/>
              </w:numPr>
              <w:ind w:left="504"/>
            </w:pPr>
            <w:r>
              <w:lastRenderedPageBreak/>
              <w:t>07/01/13 – 12/31/13</w:t>
            </w:r>
          </w:p>
          <w:p w14:paraId="1FF03098" w14:textId="2D650C99" w:rsidR="00F05C01" w:rsidRDefault="00963FB7" w:rsidP="00963FB7">
            <w:pPr>
              <w:pStyle w:val="NoSpacing"/>
            </w:pPr>
            <w:r>
              <w:rPr>
                <w:u w:val="single"/>
              </w:rPr>
              <w:t>Other</w:t>
            </w:r>
            <w:r>
              <w:t>: Providers specify/propose an alternative 6 or 12 month time period to be reviewed and approved by HHSC.</w:t>
            </w:r>
          </w:p>
        </w:tc>
        <w:tc>
          <w:tcPr>
            <w:tcW w:w="2250" w:type="dxa"/>
          </w:tcPr>
          <w:p w14:paraId="1FF03099" w14:textId="77777777" w:rsidR="00743628" w:rsidRDefault="00886E0E" w:rsidP="00886E0E">
            <w:pPr>
              <w:pStyle w:val="NoSpacing"/>
              <w:rPr>
                <w:b/>
              </w:rPr>
            </w:pPr>
            <w:r>
              <w:rPr>
                <w:b/>
              </w:rPr>
              <w:lastRenderedPageBreak/>
              <w:t>Providers</w:t>
            </w:r>
            <w:r w:rsidR="00743628">
              <w:rPr>
                <w:b/>
              </w:rPr>
              <w:t xml:space="preserve"> must report data across a 12-month time period that meets the following parameters:</w:t>
            </w:r>
          </w:p>
          <w:p w14:paraId="1FF0309A" w14:textId="77777777" w:rsidR="00743628" w:rsidRDefault="00743628" w:rsidP="00886E0E">
            <w:pPr>
              <w:pStyle w:val="NoSpacing"/>
            </w:pPr>
            <w:r w:rsidRPr="00743628">
              <w:t xml:space="preserve">1. </w:t>
            </w:r>
            <w:r w:rsidRPr="00743628">
              <w:rPr>
                <w:u w:val="single"/>
              </w:rPr>
              <w:t>Start date:</w:t>
            </w:r>
            <w:r w:rsidRPr="00743628">
              <w:t xml:space="preserve"> The start date for</w:t>
            </w:r>
            <w:r>
              <w:t xml:space="preserve"> the</w:t>
            </w:r>
            <w:r w:rsidRPr="00743628">
              <w:t xml:space="preserve"> reporting</w:t>
            </w:r>
            <w:r>
              <w:t xml:space="preserve"> period must occur after the provider’s DY3 Measurement Period.</w:t>
            </w:r>
          </w:p>
          <w:p w14:paraId="1FF0309B" w14:textId="77777777" w:rsidR="00AD706B" w:rsidRDefault="00743628" w:rsidP="00743628">
            <w:pPr>
              <w:pStyle w:val="NoSpacing"/>
            </w:pPr>
            <w:r>
              <w:t xml:space="preserve">2. </w:t>
            </w:r>
            <w:r w:rsidRPr="00743628">
              <w:rPr>
                <w:u w:val="single"/>
              </w:rPr>
              <w:t>End date:</w:t>
            </w:r>
            <w:r>
              <w:t xml:space="preserve"> The end date for the reporting period must occur on or before 09/30/15.</w:t>
            </w:r>
          </w:p>
        </w:tc>
        <w:tc>
          <w:tcPr>
            <w:tcW w:w="2358" w:type="dxa"/>
          </w:tcPr>
          <w:p w14:paraId="1FF0309C" w14:textId="77777777" w:rsidR="00743628" w:rsidRDefault="00743628" w:rsidP="00743628">
            <w:pPr>
              <w:pStyle w:val="NoSpacing"/>
              <w:rPr>
                <w:b/>
              </w:rPr>
            </w:pPr>
            <w:r>
              <w:rPr>
                <w:b/>
              </w:rPr>
              <w:t>Providers must report data across a 12-month time period that meets the following parameters:</w:t>
            </w:r>
          </w:p>
          <w:p w14:paraId="1FF0309D" w14:textId="77777777" w:rsidR="00743628" w:rsidRDefault="00743628" w:rsidP="00743628">
            <w:pPr>
              <w:pStyle w:val="NoSpacing"/>
            </w:pPr>
            <w:r w:rsidRPr="00743628">
              <w:t xml:space="preserve">1. </w:t>
            </w:r>
            <w:r w:rsidRPr="00743628">
              <w:rPr>
                <w:u w:val="single"/>
              </w:rPr>
              <w:t>Start date:</w:t>
            </w:r>
            <w:r w:rsidRPr="00743628">
              <w:t xml:space="preserve"> The start date for</w:t>
            </w:r>
            <w:r>
              <w:t xml:space="preserve"> the</w:t>
            </w:r>
            <w:r w:rsidRPr="00743628">
              <w:t xml:space="preserve"> reporting</w:t>
            </w:r>
            <w:r>
              <w:t xml:space="preserve"> period must occur after the provider’s DY4 Measurement Period.</w:t>
            </w:r>
          </w:p>
          <w:p w14:paraId="1FF0309E" w14:textId="77777777" w:rsidR="00AD706B" w:rsidRDefault="00743628" w:rsidP="00743628">
            <w:pPr>
              <w:pStyle w:val="NoSpacing"/>
            </w:pPr>
            <w:r>
              <w:t xml:space="preserve">2. </w:t>
            </w:r>
            <w:r w:rsidRPr="00743628">
              <w:rPr>
                <w:u w:val="single"/>
              </w:rPr>
              <w:t>End date:</w:t>
            </w:r>
            <w:r>
              <w:t xml:space="preserve"> The end date for the reporting period must occur on or before 09/30/16.</w:t>
            </w:r>
          </w:p>
        </w:tc>
      </w:tr>
      <w:tr w:rsidR="00AD706B" w14:paraId="1FF030A6" w14:textId="77777777" w:rsidTr="00632A34">
        <w:tc>
          <w:tcPr>
            <w:tcW w:w="2628" w:type="dxa"/>
          </w:tcPr>
          <w:p w14:paraId="1FF030A0" w14:textId="77777777" w:rsidR="00AD706B" w:rsidRDefault="00AD706B" w:rsidP="00A374B8">
            <w:pPr>
              <w:pStyle w:val="NoSpacing"/>
              <w:rPr>
                <w:b/>
              </w:rPr>
            </w:pPr>
            <w:r>
              <w:rPr>
                <w:b/>
              </w:rPr>
              <w:lastRenderedPageBreak/>
              <w:t>Reporting Opportunities to HHSC</w:t>
            </w:r>
          </w:p>
        </w:tc>
        <w:tc>
          <w:tcPr>
            <w:tcW w:w="2340" w:type="dxa"/>
          </w:tcPr>
          <w:p w14:paraId="1FF030A1" w14:textId="77777777" w:rsidR="00AD706B" w:rsidRDefault="00AD706B" w:rsidP="00A374B8">
            <w:pPr>
              <w:pStyle w:val="NoSpacing"/>
              <w:jc w:val="center"/>
            </w:pPr>
            <w:r w:rsidRPr="00135F3A">
              <w:t>10</w:t>
            </w:r>
            <w:r>
              <w:t>/31/2014</w:t>
            </w:r>
          </w:p>
        </w:tc>
        <w:tc>
          <w:tcPr>
            <w:tcW w:w="2250" w:type="dxa"/>
          </w:tcPr>
          <w:p w14:paraId="1FF030A2" w14:textId="77777777" w:rsidR="00AD706B" w:rsidRPr="00135F3A" w:rsidRDefault="00AD706B" w:rsidP="00A374B8">
            <w:pPr>
              <w:pStyle w:val="NoSpacing"/>
              <w:jc w:val="center"/>
            </w:pPr>
            <w:r w:rsidRPr="00135F3A">
              <w:t>4/30/2015</w:t>
            </w:r>
          </w:p>
          <w:p w14:paraId="1FF030A3" w14:textId="77777777" w:rsidR="00AD706B" w:rsidRPr="00AC6074" w:rsidRDefault="00AD706B" w:rsidP="00A374B8">
            <w:pPr>
              <w:pStyle w:val="NoSpacing"/>
              <w:jc w:val="center"/>
              <w:rPr>
                <w:b/>
              </w:rPr>
            </w:pPr>
            <w:r w:rsidRPr="00135F3A">
              <w:t>10/31/2015</w:t>
            </w:r>
          </w:p>
        </w:tc>
        <w:tc>
          <w:tcPr>
            <w:tcW w:w="2358" w:type="dxa"/>
          </w:tcPr>
          <w:p w14:paraId="1FF030A4" w14:textId="77777777" w:rsidR="00AD706B" w:rsidRPr="00135F3A" w:rsidRDefault="00AD706B" w:rsidP="00A374B8">
            <w:pPr>
              <w:pStyle w:val="NoSpacing"/>
              <w:jc w:val="center"/>
            </w:pPr>
            <w:r w:rsidRPr="00135F3A">
              <w:t>4/30/2016</w:t>
            </w:r>
          </w:p>
          <w:p w14:paraId="1FF030A5" w14:textId="77777777" w:rsidR="00AD706B" w:rsidRDefault="00AD706B" w:rsidP="00A374B8">
            <w:pPr>
              <w:pStyle w:val="NoSpacing"/>
              <w:jc w:val="center"/>
              <w:rPr>
                <w:b/>
              </w:rPr>
            </w:pPr>
            <w:r w:rsidRPr="00135F3A">
              <w:t>10/31/2016</w:t>
            </w:r>
          </w:p>
        </w:tc>
      </w:tr>
      <w:tr w:rsidR="000D1199" w14:paraId="1FF030AE" w14:textId="77777777" w:rsidTr="00632A34">
        <w:tc>
          <w:tcPr>
            <w:tcW w:w="2628" w:type="dxa"/>
          </w:tcPr>
          <w:p w14:paraId="1FF030A7" w14:textId="77777777" w:rsidR="000D1199" w:rsidRDefault="000D1199" w:rsidP="000D1199">
            <w:pPr>
              <w:pStyle w:val="NoSpacing"/>
              <w:rPr>
                <w:b/>
              </w:rPr>
            </w:pPr>
            <w:r>
              <w:rPr>
                <w:b/>
              </w:rPr>
              <w:t>Pay for Performance Target Methodology</w:t>
            </w:r>
          </w:p>
          <w:p w14:paraId="1FF030A8" w14:textId="77777777" w:rsidR="000D1199" w:rsidRDefault="000D1199" w:rsidP="000D1199">
            <w:pPr>
              <w:pStyle w:val="NoSpacing"/>
              <w:rPr>
                <w:b/>
              </w:rPr>
            </w:pPr>
          </w:p>
          <w:p w14:paraId="1FF030AA" w14:textId="77777777" w:rsidR="000D1199" w:rsidRPr="000D1199" w:rsidRDefault="000D1199" w:rsidP="005C1BF2">
            <w:pPr>
              <w:pStyle w:val="NoSpacing"/>
            </w:pPr>
          </w:p>
        </w:tc>
        <w:tc>
          <w:tcPr>
            <w:tcW w:w="2340" w:type="dxa"/>
          </w:tcPr>
          <w:p w14:paraId="1FF030AB" w14:textId="77777777" w:rsidR="000D1199" w:rsidRDefault="000D1199" w:rsidP="000D1199">
            <w:pPr>
              <w:pStyle w:val="NoSpacing"/>
            </w:pPr>
            <w:r>
              <w:t>Not Applicable</w:t>
            </w:r>
          </w:p>
        </w:tc>
        <w:tc>
          <w:tcPr>
            <w:tcW w:w="2250" w:type="dxa"/>
          </w:tcPr>
          <w:p w14:paraId="1FF030AC" w14:textId="77777777" w:rsidR="000D1199" w:rsidRDefault="003B012D" w:rsidP="000D1199">
            <w:pPr>
              <w:pStyle w:val="NoSpacing"/>
            </w:pPr>
            <w:r>
              <w:t>Improvement Over Self</w:t>
            </w:r>
          </w:p>
        </w:tc>
        <w:tc>
          <w:tcPr>
            <w:tcW w:w="2358" w:type="dxa"/>
          </w:tcPr>
          <w:p w14:paraId="1FF030AD" w14:textId="77777777" w:rsidR="000D1199" w:rsidRDefault="003B012D" w:rsidP="000D1199">
            <w:pPr>
              <w:pStyle w:val="NoSpacing"/>
            </w:pPr>
            <w:r>
              <w:t>Improvement Over Self</w:t>
            </w:r>
          </w:p>
        </w:tc>
      </w:tr>
    </w:tbl>
    <w:p w14:paraId="1FF030CF" w14:textId="77777777" w:rsidR="00356CF4" w:rsidRPr="008F249E" w:rsidRDefault="00356CF4" w:rsidP="007C7C85">
      <w:pPr>
        <w:pStyle w:val="Heading2"/>
      </w:pPr>
    </w:p>
    <w:sectPr w:rsidR="00356CF4" w:rsidRPr="008F249E">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3A74B" w14:textId="77777777" w:rsidR="00387D8F" w:rsidRDefault="00387D8F" w:rsidP="00F63191">
      <w:pPr>
        <w:spacing w:after="0" w:line="240" w:lineRule="auto"/>
      </w:pPr>
      <w:r>
        <w:separator/>
      </w:r>
    </w:p>
  </w:endnote>
  <w:endnote w:type="continuationSeparator" w:id="0">
    <w:p w14:paraId="67900FE7" w14:textId="77777777" w:rsidR="00387D8F" w:rsidRDefault="00387D8F" w:rsidP="00F6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972815"/>
      <w:docPartObj>
        <w:docPartGallery w:val="Page Numbers (Bottom of Page)"/>
        <w:docPartUnique/>
      </w:docPartObj>
    </w:sdtPr>
    <w:sdtEndPr>
      <w:rPr>
        <w:noProof/>
      </w:rPr>
    </w:sdtEndPr>
    <w:sdtContent>
      <w:p w14:paraId="1FF030DD" w14:textId="77777777" w:rsidR="002E14AF" w:rsidRDefault="002E14AF">
        <w:pPr>
          <w:pStyle w:val="Footer"/>
          <w:jc w:val="right"/>
        </w:pPr>
        <w:r>
          <w:fldChar w:fldCharType="begin"/>
        </w:r>
        <w:r>
          <w:instrText xml:space="preserve"> PAGE   \* MERGEFORMAT </w:instrText>
        </w:r>
        <w:r>
          <w:fldChar w:fldCharType="separate"/>
        </w:r>
        <w:r w:rsidR="00A42454">
          <w:rPr>
            <w:noProof/>
          </w:rPr>
          <w:t>1</w:t>
        </w:r>
        <w:r>
          <w:rPr>
            <w:noProof/>
          </w:rPr>
          <w:fldChar w:fldCharType="end"/>
        </w:r>
      </w:p>
    </w:sdtContent>
  </w:sdt>
  <w:p w14:paraId="1FF030DE" w14:textId="77777777" w:rsidR="002E14AF" w:rsidRDefault="002E1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C2372" w14:textId="77777777" w:rsidR="00387D8F" w:rsidRDefault="00387D8F" w:rsidP="00F63191">
      <w:pPr>
        <w:spacing w:after="0" w:line="240" w:lineRule="auto"/>
      </w:pPr>
      <w:r>
        <w:separator/>
      </w:r>
    </w:p>
  </w:footnote>
  <w:footnote w:type="continuationSeparator" w:id="0">
    <w:p w14:paraId="3E97EEE0" w14:textId="77777777" w:rsidR="00387D8F" w:rsidRDefault="00387D8F" w:rsidP="00F63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030DC" w14:textId="17C2C508" w:rsidR="008F0411" w:rsidRDefault="008F0411" w:rsidP="008F041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189"/>
    <w:multiLevelType w:val="hybridMultilevel"/>
    <w:tmpl w:val="935A6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00C05"/>
    <w:multiLevelType w:val="hybridMultilevel"/>
    <w:tmpl w:val="885CA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C2B61"/>
    <w:multiLevelType w:val="hybridMultilevel"/>
    <w:tmpl w:val="C468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97CC7"/>
    <w:multiLevelType w:val="hybridMultilevel"/>
    <w:tmpl w:val="7E08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450F1"/>
    <w:multiLevelType w:val="hybridMultilevel"/>
    <w:tmpl w:val="C470A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A06A3D"/>
    <w:multiLevelType w:val="hybridMultilevel"/>
    <w:tmpl w:val="0D3C37B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9B736DD"/>
    <w:multiLevelType w:val="hybridMultilevel"/>
    <w:tmpl w:val="E34C5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A57262"/>
    <w:multiLevelType w:val="hybridMultilevel"/>
    <w:tmpl w:val="EADE0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C214561"/>
    <w:multiLevelType w:val="hybridMultilevel"/>
    <w:tmpl w:val="A35A4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45052A"/>
    <w:multiLevelType w:val="hybridMultilevel"/>
    <w:tmpl w:val="99EA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2C10E2"/>
    <w:multiLevelType w:val="hybridMultilevel"/>
    <w:tmpl w:val="FAC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922C3C"/>
    <w:multiLevelType w:val="hybridMultilevel"/>
    <w:tmpl w:val="44CE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8E5838"/>
    <w:multiLevelType w:val="hybridMultilevel"/>
    <w:tmpl w:val="55B20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1230B50"/>
    <w:multiLevelType w:val="hybridMultilevel"/>
    <w:tmpl w:val="4DE23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A31801"/>
    <w:multiLevelType w:val="hybridMultilevel"/>
    <w:tmpl w:val="09F2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6205B9"/>
    <w:multiLevelType w:val="hybridMultilevel"/>
    <w:tmpl w:val="95508AA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7D14B6"/>
    <w:multiLevelType w:val="hybridMultilevel"/>
    <w:tmpl w:val="5EA2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AC7387"/>
    <w:multiLevelType w:val="hybridMultilevel"/>
    <w:tmpl w:val="8B48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2225C2"/>
    <w:multiLevelType w:val="hybridMultilevel"/>
    <w:tmpl w:val="828A6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B82C1A"/>
    <w:multiLevelType w:val="hybridMultilevel"/>
    <w:tmpl w:val="2346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340488"/>
    <w:multiLevelType w:val="hybridMultilevel"/>
    <w:tmpl w:val="30082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F37E71"/>
    <w:multiLevelType w:val="hybridMultilevel"/>
    <w:tmpl w:val="1D3E4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E5177E"/>
    <w:multiLevelType w:val="hybridMultilevel"/>
    <w:tmpl w:val="8B2EE346"/>
    <w:lvl w:ilvl="0" w:tplc="02C212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5AA46F9"/>
    <w:multiLevelType w:val="hybridMultilevel"/>
    <w:tmpl w:val="E44A9D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7425F4B"/>
    <w:multiLevelType w:val="multilevel"/>
    <w:tmpl w:val="1D34B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B0545AC"/>
    <w:multiLevelType w:val="hybridMultilevel"/>
    <w:tmpl w:val="38DC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2806C9"/>
    <w:multiLevelType w:val="hybridMultilevel"/>
    <w:tmpl w:val="DE24880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9"/>
  </w:num>
  <w:num w:numId="4">
    <w:abstractNumId w:val="17"/>
  </w:num>
  <w:num w:numId="5">
    <w:abstractNumId w:val="6"/>
  </w:num>
  <w:num w:numId="6">
    <w:abstractNumId w:val="13"/>
  </w:num>
  <w:num w:numId="7">
    <w:abstractNumId w:val="21"/>
  </w:num>
  <w:num w:numId="8">
    <w:abstractNumId w:val="14"/>
  </w:num>
  <w:num w:numId="9">
    <w:abstractNumId w:val="16"/>
  </w:num>
  <w:num w:numId="10">
    <w:abstractNumId w:val="9"/>
  </w:num>
  <w:num w:numId="11">
    <w:abstractNumId w:val="4"/>
  </w:num>
  <w:num w:numId="12">
    <w:abstractNumId w:val="11"/>
  </w:num>
  <w:num w:numId="13">
    <w:abstractNumId w:val="8"/>
  </w:num>
  <w:num w:numId="14">
    <w:abstractNumId w:val="1"/>
  </w:num>
  <w:num w:numId="15">
    <w:abstractNumId w:val="15"/>
  </w:num>
  <w:num w:numId="16">
    <w:abstractNumId w:val="20"/>
  </w:num>
  <w:num w:numId="17">
    <w:abstractNumId w:val="0"/>
  </w:num>
  <w:num w:numId="18">
    <w:abstractNumId w:val="25"/>
  </w:num>
  <w:num w:numId="19">
    <w:abstractNumId w:val="23"/>
  </w:num>
  <w:num w:numId="20">
    <w:abstractNumId w:val="22"/>
  </w:num>
  <w:num w:numId="21">
    <w:abstractNumId w:val="10"/>
  </w:num>
  <w:num w:numId="22">
    <w:abstractNumId w:val="18"/>
  </w:num>
  <w:num w:numId="23">
    <w:abstractNumId w:val="24"/>
  </w:num>
  <w:num w:numId="24">
    <w:abstractNumId w:val="26"/>
  </w:num>
  <w:num w:numId="25">
    <w:abstractNumId w:val="5"/>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6B"/>
    <w:rsid w:val="0001001F"/>
    <w:rsid w:val="000C575F"/>
    <w:rsid w:val="000D1199"/>
    <w:rsid w:val="000D1EDA"/>
    <w:rsid w:val="000D5A2D"/>
    <w:rsid w:val="000E337A"/>
    <w:rsid w:val="000E7EED"/>
    <w:rsid w:val="00100A2F"/>
    <w:rsid w:val="00107C1A"/>
    <w:rsid w:val="0011709A"/>
    <w:rsid w:val="001322BA"/>
    <w:rsid w:val="00165D76"/>
    <w:rsid w:val="001752ED"/>
    <w:rsid w:val="001A6012"/>
    <w:rsid w:val="001D6BEA"/>
    <w:rsid w:val="002224F0"/>
    <w:rsid w:val="00231A0C"/>
    <w:rsid w:val="00245754"/>
    <w:rsid w:val="00271E53"/>
    <w:rsid w:val="002845C2"/>
    <w:rsid w:val="002A3767"/>
    <w:rsid w:val="002D0937"/>
    <w:rsid w:val="002E14AF"/>
    <w:rsid w:val="0032246B"/>
    <w:rsid w:val="00346B8D"/>
    <w:rsid w:val="00356CF4"/>
    <w:rsid w:val="00366D0B"/>
    <w:rsid w:val="00375652"/>
    <w:rsid w:val="00383516"/>
    <w:rsid w:val="003844DB"/>
    <w:rsid w:val="00387D8F"/>
    <w:rsid w:val="003A409E"/>
    <w:rsid w:val="003B012D"/>
    <w:rsid w:val="003B5178"/>
    <w:rsid w:val="003F4E8D"/>
    <w:rsid w:val="00416E44"/>
    <w:rsid w:val="00455A4D"/>
    <w:rsid w:val="004C0F43"/>
    <w:rsid w:val="004D3C97"/>
    <w:rsid w:val="00502BE4"/>
    <w:rsid w:val="00506BC5"/>
    <w:rsid w:val="00513C43"/>
    <w:rsid w:val="00536799"/>
    <w:rsid w:val="005802A0"/>
    <w:rsid w:val="005857E6"/>
    <w:rsid w:val="00593D3C"/>
    <w:rsid w:val="0059537A"/>
    <w:rsid w:val="005B79DD"/>
    <w:rsid w:val="005C1BF2"/>
    <w:rsid w:val="005C70A1"/>
    <w:rsid w:val="005D78F1"/>
    <w:rsid w:val="005F4D43"/>
    <w:rsid w:val="00632A34"/>
    <w:rsid w:val="007164C7"/>
    <w:rsid w:val="00743628"/>
    <w:rsid w:val="00760D27"/>
    <w:rsid w:val="007C728B"/>
    <w:rsid w:val="007C7C85"/>
    <w:rsid w:val="007E0395"/>
    <w:rsid w:val="007F675B"/>
    <w:rsid w:val="007F7C07"/>
    <w:rsid w:val="00800C24"/>
    <w:rsid w:val="00813E6D"/>
    <w:rsid w:val="00823868"/>
    <w:rsid w:val="008268C1"/>
    <w:rsid w:val="00827557"/>
    <w:rsid w:val="008722BB"/>
    <w:rsid w:val="008779F5"/>
    <w:rsid w:val="0088642E"/>
    <w:rsid w:val="00886E0E"/>
    <w:rsid w:val="008A2FDC"/>
    <w:rsid w:val="008A5405"/>
    <w:rsid w:val="008B105F"/>
    <w:rsid w:val="008D1A8E"/>
    <w:rsid w:val="008F0411"/>
    <w:rsid w:val="008F249E"/>
    <w:rsid w:val="008F6CB0"/>
    <w:rsid w:val="00963FB7"/>
    <w:rsid w:val="00965A2A"/>
    <w:rsid w:val="00967948"/>
    <w:rsid w:val="00994A41"/>
    <w:rsid w:val="0099566A"/>
    <w:rsid w:val="00996DD5"/>
    <w:rsid w:val="009C6EA3"/>
    <w:rsid w:val="009F04D0"/>
    <w:rsid w:val="009F78A7"/>
    <w:rsid w:val="009F7E66"/>
    <w:rsid w:val="00A11BD9"/>
    <w:rsid w:val="00A42454"/>
    <w:rsid w:val="00A82574"/>
    <w:rsid w:val="00A9502C"/>
    <w:rsid w:val="00A95088"/>
    <w:rsid w:val="00AA5003"/>
    <w:rsid w:val="00AC3A97"/>
    <w:rsid w:val="00AD706B"/>
    <w:rsid w:val="00AF3A3D"/>
    <w:rsid w:val="00B05CBF"/>
    <w:rsid w:val="00B20462"/>
    <w:rsid w:val="00B546CF"/>
    <w:rsid w:val="00B56243"/>
    <w:rsid w:val="00B65D92"/>
    <w:rsid w:val="00B708DA"/>
    <w:rsid w:val="00B86EC4"/>
    <w:rsid w:val="00BA61F1"/>
    <w:rsid w:val="00BB7F7C"/>
    <w:rsid w:val="00BC3BA4"/>
    <w:rsid w:val="00BC4643"/>
    <w:rsid w:val="00C01E6F"/>
    <w:rsid w:val="00C86C48"/>
    <w:rsid w:val="00C9758A"/>
    <w:rsid w:val="00CA2D3E"/>
    <w:rsid w:val="00CA4C08"/>
    <w:rsid w:val="00CC28BC"/>
    <w:rsid w:val="00CD7069"/>
    <w:rsid w:val="00D1777E"/>
    <w:rsid w:val="00D63CD3"/>
    <w:rsid w:val="00DB7651"/>
    <w:rsid w:val="00DE660A"/>
    <w:rsid w:val="00E43145"/>
    <w:rsid w:val="00EB6678"/>
    <w:rsid w:val="00ED0951"/>
    <w:rsid w:val="00EF333D"/>
    <w:rsid w:val="00F05C01"/>
    <w:rsid w:val="00F069C3"/>
    <w:rsid w:val="00F06C5E"/>
    <w:rsid w:val="00F17199"/>
    <w:rsid w:val="00F20443"/>
    <w:rsid w:val="00F462E2"/>
    <w:rsid w:val="00F63191"/>
    <w:rsid w:val="00F64CD1"/>
    <w:rsid w:val="00F927B0"/>
    <w:rsid w:val="00FB6BEE"/>
    <w:rsid w:val="00FC18E8"/>
    <w:rsid w:val="00FE4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0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 w:type="character" w:customStyle="1" w:styleId="fthighlight">
    <w:name w:val="ft_highlight"/>
    <w:basedOn w:val="DefaultParagraphFont"/>
    <w:rsid w:val="008B105F"/>
  </w:style>
  <w:style w:type="paragraph" w:styleId="ListParagraph">
    <w:name w:val="List Paragraph"/>
    <w:basedOn w:val="Normal"/>
    <w:uiPriority w:val="34"/>
    <w:qFormat/>
    <w:rsid w:val="00593D3C"/>
    <w:pPr>
      <w:ind w:left="720"/>
      <w:contextualSpacing/>
    </w:pPr>
  </w:style>
  <w:style w:type="paragraph" w:styleId="NormalWeb">
    <w:name w:val="Normal (Web)"/>
    <w:basedOn w:val="Normal"/>
    <w:uiPriority w:val="99"/>
    <w:semiHidden/>
    <w:unhideWhenUsed/>
    <w:rsid w:val="009956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566A"/>
    <w:rPr>
      <w:i/>
      <w:iCs/>
    </w:rPr>
  </w:style>
  <w:style w:type="character" w:styleId="Strong">
    <w:name w:val="Strong"/>
    <w:basedOn w:val="DefaultParagraphFont"/>
    <w:uiPriority w:val="22"/>
    <w:qFormat/>
    <w:rsid w:val="001A60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 w:type="character" w:customStyle="1" w:styleId="fthighlight">
    <w:name w:val="ft_highlight"/>
    <w:basedOn w:val="DefaultParagraphFont"/>
    <w:rsid w:val="008B105F"/>
  </w:style>
  <w:style w:type="paragraph" w:styleId="ListParagraph">
    <w:name w:val="List Paragraph"/>
    <w:basedOn w:val="Normal"/>
    <w:uiPriority w:val="34"/>
    <w:qFormat/>
    <w:rsid w:val="00593D3C"/>
    <w:pPr>
      <w:ind w:left="720"/>
      <w:contextualSpacing/>
    </w:pPr>
  </w:style>
  <w:style w:type="paragraph" w:styleId="NormalWeb">
    <w:name w:val="Normal (Web)"/>
    <w:basedOn w:val="Normal"/>
    <w:uiPriority w:val="99"/>
    <w:semiHidden/>
    <w:unhideWhenUsed/>
    <w:rsid w:val="009956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566A"/>
    <w:rPr>
      <w:i/>
      <w:iCs/>
    </w:rPr>
  </w:style>
  <w:style w:type="character" w:styleId="Strong">
    <w:name w:val="Strong"/>
    <w:basedOn w:val="DefaultParagraphFont"/>
    <w:uiPriority w:val="22"/>
    <w:qFormat/>
    <w:rsid w:val="001A60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3108">
      <w:bodyDiv w:val="1"/>
      <w:marLeft w:val="0"/>
      <w:marRight w:val="0"/>
      <w:marTop w:val="0"/>
      <w:marBottom w:val="0"/>
      <w:divBdr>
        <w:top w:val="none" w:sz="0" w:space="0" w:color="auto"/>
        <w:left w:val="none" w:sz="0" w:space="0" w:color="auto"/>
        <w:bottom w:val="none" w:sz="0" w:space="0" w:color="auto"/>
        <w:right w:val="none" w:sz="0" w:space="0" w:color="auto"/>
      </w:divBdr>
    </w:div>
    <w:div w:id="47145902">
      <w:bodyDiv w:val="1"/>
      <w:marLeft w:val="0"/>
      <w:marRight w:val="0"/>
      <w:marTop w:val="0"/>
      <w:marBottom w:val="0"/>
      <w:divBdr>
        <w:top w:val="none" w:sz="0" w:space="0" w:color="auto"/>
        <w:left w:val="none" w:sz="0" w:space="0" w:color="auto"/>
        <w:bottom w:val="none" w:sz="0" w:space="0" w:color="auto"/>
        <w:right w:val="none" w:sz="0" w:space="0" w:color="auto"/>
      </w:divBdr>
    </w:div>
    <w:div w:id="150409683">
      <w:bodyDiv w:val="1"/>
      <w:marLeft w:val="0"/>
      <w:marRight w:val="0"/>
      <w:marTop w:val="0"/>
      <w:marBottom w:val="0"/>
      <w:divBdr>
        <w:top w:val="none" w:sz="0" w:space="0" w:color="auto"/>
        <w:left w:val="none" w:sz="0" w:space="0" w:color="auto"/>
        <w:bottom w:val="none" w:sz="0" w:space="0" w:color="auto"/>
        <w:right w:val="none" w:sz="0" w:space="0" w:color="auto"/>
      </w:divBdr>
    </w:div>
    <w:div w:id="513425062">
      <w:bodyDiv w:val="1"/>
      <w:marLeft w:val="0"/>
      <w:marRight w:val="0"/>
      <w:marTop w:val="0"/>
      <w:marBottom w:val="0"/>
      <w:divBdr>
        <w:top w:val="none" w:sz="0" w:space="0" w:color="auto"/>
        <w:left w:val="none" w:sz="0" w:space="0" w:color="auto"/>
        <w:bottom w:val="none" w:sz="0" w:space="0" w:color="auto"/>
        <w:right w:val="none" w:sz="0" w:space="0" w:color="auto"/>
      </w:divBdr>
      <w:divsChild>
        <w:div w:id="1700617026">
          <w:marLeft w:val="0"/>
          <w:marRight w:val="0"/>
          <w:marTop w:val="0"/>
          <w:marBottom w:val="0"/>
          <w:divBdr>
            <w:top w:val="none" w:sz="0" w:space="0" w:color="auto"/>
            <w:left w:val="none" w:sz="0" w:space="0" w:color="auto"/>
            <w:bottom w:val="none" w:sz="0" w:space="0" w:color="auto"/>
            <w:right w:val="none" w:sz="0" w:space="0" w:color="auto"/>
          </w:divBdr>
          <w:divsChild>
            <w:div w:id="832989477">
              <w:marLeft w:val="0"/>
              <w:marRight w:val="0"/>
              <w:marTop w:val="0"/>
              <w:marBottom w:val="0"/>
              <w:divBdr>
                <w:top w:val="none" w:sz="0" w:space="0" w:color="auto"/>
                <w:left w:val="none" w:sz="0" w:space="0" w:color="auto"/>
                <w:bottom w:val="none" w:sz="0" w:space="0" w:color="auto"/>
                <w:right w:val="none" w:sz="0" w:space="0" w:color="auto"/>
              </w:divBdr>
              <w:divsChild>
                <w:div w:id="749697382">
                  <w:marLeft w:val="0"/>
                  <w:marRight w:val="0"/>
                  <w:marTop w:val="0"/>
                  <w:marBottom w:val="0"/>
                  <w:divBdr>
                    <w:top w:val="none" w:sz="0" w:space="0" w:color="auto"/>
                    <w:left w:val="none" w:sz="0" w:space="0" w:color="auto"/>
                    <w:bottom w:val="none" w:sz="0" w:space="0" w:color="auto"/>
                    <w:right w:val="none" w:sz="0" w:space="0" w:color="auto"/>
                  </w:divBdr>
                  <w:divsChild>
                    <w:div w:id="1168979339">
                      <w:marLeft w:val="0"/>
                      <w:marRight w:val="0"/>
                      <w:marTop w:val="0"/>
                      <w:marBottom w:val="0"/>
                      <w:divBdr>
                        <w:top w:val="none" w:sz="0" w:space="0" w:color="auto"/>
                        <w:left w:val="none" w:sz="0" w:space="0" w:color="auto"/>
                        <w:bottom w:val="none" w:sz="0" w:space="0" w:color="auto"/>
                        <w:right w:val="none" w:sz="0" w:space="0" w:color="auto"/>
                      </w:divBdr>
                      <w:divsChild>
                        <w:div w:id="903180257">
                          <w:marLeft w:val="0"/>
                          <w:marRight w:val="0"/>
                          <w:marTop w:val="0"/>
                          <w:marBottom w:val="0"/>
                          <w:divBdr>
                            <w:top w:val="none" w:sz="0" w:space="0" w:color="auto"/>
                            <w:left w:val="none" w:sz="0" w:space="0" w:color="auto"/>
                            <w:bottom w:val="none" w:sz="0" w:space="0" w:color="auto"/>
                            <w:right w:val="none" w:sz="0" w:space="0" w:color="auto"/>
                          </w:divBdr>
                          <w:divsChild>
                            <w:div w:id="665864158">
                              <w:marLeft w:val="0"/>
                              <w:marRight w:val="0"/>
                              <w:marTop w:val="0"/>
                              <w:marBottom w:val="0"/>
                              <w:divBdr>
                                <w:top w:val="none" w:sz="0" w:space="0" w:color="auto"/>
                                <w:left w:val="none" w:sz="0" w:space="0" w:color="auto"/>
                                <w:bottom w:val="none" w:sz="0" w:space="0" w:color="auto"/>
                                <w:right w:val="none" w:sz="0" w:space="0" w:color="auto"/>
                              </w:divBdr>
                              <w:divsChild>
                                <w:div w:id="548108014">
                                  <w:marLeft w:val="0"/>
                                  <w:marRight w:val="0"/>
                                  <w:marTop w:val="0"/>
                                  <w:marBottom w:val="0"/>
                                  <w:divBdr>
                                    <w:top w:val="none" w:sz="0" w:space="0" w:color="auto"/>
                                    <w:left w:val="none" w:sz="0" w:space="0" w:color="auto"/>
                                    <w:bottom w:val="none" w:sz="0" w:space="0" w:color="auto"/>
                                    <w:right w:val="none" w:sz="0" w:space="0" w:color="auto"/>
                                  </w:divBdr>
                                  <w:divsChild>
                                    <w:div w:id="951473251">
                                      <w:marLeft w:val="0"/>
                                      <w:marRight w:val="0"/>
                                      <w:marTop w:val="0"/>
                                      <w:marBottom w:val="0"/>
                                      <w:divBdr>
                                        <w:top w:val="none" w:sz="0" w:space="0" w:color="auto"/>
                                        <w:left w:val="none" w:sz="0" w:space="0" w:color="auto"/>
                                        <w:bottom w:val="none" w:sz="0" w:space="0" w:color="auto"/>
                                        <w:right w:val="none" w:sz="0" w:space="0" w:color="auto"/>
                                      </w:divBdr>
                                      <w:divsChild>
                                        <w:div w:id="278412063">
                                          <w:marLeft w:val="0"/>
                                          <w:marRight w:val="0"/>
                                          <w:marTop w:val="0"/>
                                          <w:marBottom w:val="0"/>
                                          <w:divBdr>
                                            <w:top w:val="none" w:sz="0" w:space="0" w:color="auto"/>
                                            <w:left w:val="none" w:sz="0" w:space="0" w:color="auto"/>
                                            <w:bottom w:val="none" w:sz="0" w:space="0" w:color="auto"/>
                                            <w:right w:val="none" w:sz="0" w:space="0" w:color="auto"/>
                                          </w:divBdr>
                                          <w:divsChild>
                                            <w:div w:id="60446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00660">
                                      <w:marLeft w:val="0"/>
                                      <w:marRight w:val="0"/>
                                      <w:marTop w:val="0"/>
                                      <w:marBottom w:val="0"/>
                                      <w:divBdr>
                                        <w:top w:val="none" w:sz="0" w:space="0" w:color="auto"/>
                                        <w:left w:val="none" w:sz="0" w:space="0" w:color="auto"/>
                                        <w:bottom w:val="none" w:sz="0" w:space="0" w:color="auto"/>
                                        <w:right w:val="none" w:sz="0" w:space="0" w:color="auto"/>
                                      </w:divBdr>
                                      <w:divsChild>
                                        <w:div w:id="68966200">
                                          <w:marLeft w:val="0"/>
                                          <w:marRight w:val="0"/>
                                          <w:marTop w:val="0"/>
                                          <w:marBottom w:val="0"/>
                                          <w:divBdr>
                                            <w:top w:val="none" w:sz="0" w:space="0" w:color="auto"/>
                                            <w:left w:val="none" w:sz="0" w:space="0" w:color="auto"/>
                                            <w:bottom w:val="none" w:sz="0" w:space="0" w:color="auto"/>
                                            <w:right w:val="none" w:sz="0" w:space="0" w:color="auto"/>
                                          </w:divBdr>
                                        </w:div>
                                        <w:div w:id="363871580">
                                          <w:marLeft w:val="0"/>
                                          <w:marRight w:val="0"/>
                                          <w:marTop w:val="0"/>
                                          <w:marBottom w:val="0"/>
                                          <w:divBdr>
                                            <w:top w:val="none" w:sz="0" w:space="0" w:color="auto"/>
                                            <w:left w:val="none" w:sz="0" w:space="0" w:color="auto"/>
                                            <w:bottom w:val="none" w:sz="0" w:space="0" w:color="auto"/>
                                            <w:right w:val="none" w:sz="0" w:space="0" w:color="auto"/>
                                          </w:divBdr>
                                        </w:div>
                                      </w:divsChild>
                                    </w:div>
                                    <w:div w:id="1183469549">
                                      <w:marLeft w:val="0"/>
                                      <w:marRight w:val="0"/>
                                      <w:marTop w:val="0"/>
                                      <w:marBottom w:val="0"/>
                                      <w:divBdr>
                                        <w:top w:val="none" w:sz="0" w:space="0" w:color="auto"/>
                                        <w:left w:val="none" w:sz="0" w:space="0" w:color="auto"/>
                                        <w:bottom w:val="none" w:sz="0" w:space="0" w:color="auto"/>
                                        <w:right w:val="none" w:sz="0" w:space="0" w:color="auto"/>
                                      </w:divBdr>
                                      <w:divsChild>
                                        <w:div w:id="1296713439">
                                          <w:marLeft w:val="0"/>
                                          <w:marRight w:val="0"/>
                                          <w:marTop w:val="0"/>
                                          <w:marBottom w:val="0"/>
                                          <w:divBdr>
                                            <w:top w:val="none" w:sz="0" w:space="0" w:color="auto"/>
                                            <w:left w:val="none" w:sz="0" w:space="0" w:color="auto"/>
                                            <w:bottom w:val="none" w:sz="0" w:space="0" w:color="auto"/>
                                            <w:right w:val="none" w:sz="0" w:space="0" w:color="auto"/>
                                          </w:divBdr>
                                        </w:div>
                                        <w:div w:id="1970281883">
                                          <w:marLeft w:val="0"/>
                                          <w:marRight w:val="0"/>
                                          <w:marTop w:val="0"/>
                                          <w:marBottom w:val="0"/>
                                          <w:divBdr>
                                            <w:top w:val="none" w:sz="0" w:space="0" w:color="auto"/>
                                            <w:left w:val="none" w:sz="0" w:space="0" w:color="auto"/>
                                            <w:bottom w:val="none" w:sz="0" w:space="0" w:color="auto"/>
                                            <w:right w:val="none" w:sz="0" w:space="0" w:color="auto"/>
                                          </w:divBdr>
                                        </w:div>
                                      </w:divsChild>
                                    </w:div>
                                    <w:div w:id="187446686">
                                      <w:marLeft w:val="0"/>
                                      <w:marRight w:val="0"/>
                                      <w:marTop w:val="0"/>
                                      <w:marBottom w:val="0"/>
                                      <w:divBdr>
                                        <w:top w:val="none" w:sz="0" w:space="0" w:color="auto"/>
                                        <w:left w:val="none" w:sz="0" w:space="0" w:color="auto"/>
                                        <w:bottom w:val="none" w:sz="0" w:space="0" w:color="auto"/>
                                        <w:right w:val="none" w:sz="0" w:space="0" w:color="auto"/>
                                      </w:divBdr>
                                      <w:divsChild>
                                        <w:div w:id="1454862050">
                                          <w:marLeft w:val="0"/>
                                          <w:marRight w:val="0"/>
                                          <w:marTop w:val="0"/>
                                          <w:marBottom w:val="0"/>
                                          <w:divBdr>
                                            <w:top w:val="none" w:sz="0" w:space="0" w:color="auto"/>
                                            <w:left w:val="none" w:sz="0" w:space="0" w:color="auto"/>
                                            <w:bottom w:val="none" w:sz="0" w:space="0" w:color="auto"/>
                                            <w:right w:val="none" w:sz="0" w:space="0" w:color="auto"/>
                                          </w:divBdr>
                                        </w:div>
                                        <w:div w:id="2066757459">
                                          <w:marLeft w:val="0"/>
                                          <w:marRight w:val="0"/>
                                          <w:marTop w:val="0"/>
                                          <w:marBottom w:val="0"/>
                                          <w:divBdr>
                                            <w:top w:val="none" w:sz="0" w:space="0" w:color="auto"/>
                                            <w:left w:val="none" w:sz="0" w:space="0" w:color="auto"/>
                                            <w:bottom w:val="none" w:sz="0" w:space="0" w:color="auto"/>
                                            <w:right w:val="none" w:sz="0" w:space="0" w:color="auto"/>
                                          </w:divBdr>
                                        </w:div>
                                      </w:divsChild>
                                    </w:div>
                                    <w:div w:id="568812792">
                                      <w:marLeft w:val="0"/>
                                      <w:marRight w:val="0"/>
                                      <w:marTop w:val="0"/>
                                      <w:marBottom w:val="0"/>
                                      <w:divBdr>
                                        <w:top w:val="none" w:sz="0" w:space="0" w:color="auto"/>
                                        <w:left w:val="none" w:sz="0" w:space="0" w:color="auto"/>
                                        <w:bottom w:val="none" w:sz="0" w:space="0" w:color="auto"/>
                                        <w:right w:val="none" w:sz="0" w:space="0" w:color="auto"/>
                                      </w:divBdr>
                                      <w:divsChild>
                                        <w:div w:id="149294782">
                                          <w:marLeft w:val="0"/>
                                          <w:marRight w:val="0"/>
                                          <w:marTop w:val="0"/>
                                          <w:marBottom w:val="0"/>
                                          <w:divBdr>
                                            <w:top w:val="none" w:sz="0" w:space="0" w:color="auto"/>
                                            <w:left w:val="none" w:sz="0" w:space="0" w:color="auto"/>
                                            <w:bottom w:val="none" w:sz="0" w:space="0" w:color="auto"/>
                                            <w:right w:val="none" w:sz="0" w:space="0" w:color="auto"/>
                                          </w:divBdr>
                                        </w:div>
                                        <w:div w:id="1590431809">
                                          <w:marLeft w:val="0"/>
                                          <w:marRight w:val="0"/>
                                          <w:marTop w:val="0"/>
                                          <w:marBottom w:val="0"/>
                                          <w:divBdr>
                                            <w:top w:val="none" w:sz="0" w:space="0" w:color="auto"/>
                                            <w:left w:val="none" w:sz="0" w:space="0" w:color="auto"/>
                                            <w:bottom w:val="none" w:sz="0" w:space="0" w:color="auto"/>
                                            <w:right w:val="none" w:sz="0" w:space="0" w:color="auto"/>
                                          </w:divBdr>
                                          <w:divsChild>
                                            <w:div w:id="5914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00648">
                                  <w:marLeft w:val="0"/>
                                  <w:marRight w:val="0"/>
                                  <w:marTop w:val="0"/>
                                  <w:marBottom w:val="0"/>
                                  <w:divBdr>
                                    <w:top w:val="none" w:sz="0" w:space="0" w:color="auto"/>
                                    <w:left w:val="none" w:sz="0" w:space="0" w:color="auto"/>
                                    <w:bottom w:val="none" w:sz="0" w:space="0" w:color="auto"/>
                                    <w:right w:val="none" w:sz="0" w:space="0" w:color="auto"/>
                                  </w:divBdr>
                                  <w:divsChild>
                                    <w:div w:id="1140876851">
                                      <w:marLeft w:val="0"/>
                                      <w:marRight w:val="0"/>
                                      <w:marTop w:val="0"/>
                                      <w:marBottom w:val="0"/>
                                      <w:divBdr>
                                        <w:top w:val="none" w:sz="0" w:space="0" w:color="auto"/>
                                        <w:left w:val="none" w:sz="0" w:space="0" w:color="auto"/>
                                        <w:bottom w:val="none" w:sz="0" w:space="0" w:color="auto"/>
                                        <w:right w:val="none" w:sz="0" w:space="0" w:color="auto"/>
                                      </w:divBdr>
                                    </w:div>
                                    <w:div w:id="1281305085">
                                      <w:marLeft w:val="0"/>
                                      <w:marRight w:val="0"/>
                                      <w:marTop w:val="0"/>
                                      <w:marBottom w:val="0"/>
                                      <w:divBdr>
                                        <w:top w:val="none" w:sz="0" w:space="0" w:color="auto"/>
                                        <w:left w:val="none" w:sz="0" w:space="0" w:color="auto"/>
                                        <w:bottom w:val="none" w:sz="0" w:space="0" w:color="auto"/>
                                        <w:right w:val="none" w:sz="0" w:space="0" w:color="auto"/>
                                      </w:divBdr>
                                    </w:div>
                                  </w:divsChild>
                                </w:div>
                                <w:div w:id="670110030">
                                  <w:marLeft w:val="0"/>
                                  <w:marRight w:val="0"/>
                                  <w:marTop w:val="0"/>
                                  <w:marBottom w:val="0"/>
                                  <w:divBdr>
                                    <w:top w:val="none" w:sz="0" w:space="0" w:color="auto"/>
                                    <w:left w:val="none" w:sz="0" w:space="0" w:color="auto"/>
                                    <w:bottom w:val="none" w:sz="0" w:space="0" w:color="auto"/>
                                    <w:right w:val="none" w:sz="0" w:space="0" w:color="auto"/>
                                  </w:divBdr>
                                  <w:divsChild>
                                    <w:div w:id="1649819661">
                                      <w:marLeft w:val="0"/>
                                      <w:marRight w:val="0"/>
                                      <w:marTop w:val="0"/>
                                      <w:marBottom w:val="0"/>
                                      <w:divBdr>
                                        <w:top w:val="none" w:sz="0" w:space="0" w:color="auto"/>
                                        <w:left w:val="none" w:sz="0" w:space="0" w:color="auto"/>
                                        <w:bottom w:val="none" w:sz="0" w:space="0" w:color="auto"/>
                                        <w:right w:val="none" w:sz="0" w:space="0" w:color="auto"/>
                                      </w:divBdr>
                                      <w:divsChild>
                                        <w:div w:id="1142818311">
                                          <w:marLeft w:val="0"/>
                                          <w:marRight w:val="0"/>
                                          <w:marTop w:val="0"/>
                                          <w:marBottom w:val="0"/>
                                          <w:divBdr>
                                            <w:top w:val="none" w:sz="0" w:space="0" w:color="auto"/>
                                            <w:left w:val="none" w:sz="0" w:space="0" w:color="auto"/>
                                            <w:bottom w:val="none" w:sz="0" w:space="0" w:color="auto"/>
                                            <w:right w:val="none" w:sz="0" w:space="0" w:color="auto"/>
                                          </w:divBdr>
                                        </w:div>
                                        <w:div w:id="1410924873">
                                          <w:marLeft w:val="0"/>
                                          <w:marRight w:val="0"/>
                                          <w:marTop w:val="0"/>
                                          <w:marBottom w:val="0"/>
                                          <w:divBdr>
                                            <w:top w:val="none" w:sz="0" w:space="0" w:color="auto"/>
                                            <w:left w:val="none" w:sz="0" w:space="0" w:color="auto"/>
                                            <w:bottom w:val="none" w:sz="0" w:space="0" w:color="auto"/>
                                            <w:right w:val="none" w:sz="0" w:space="0" w:color="auto"/>
                                          </w:divBdr>
                                        </w:div>
                                      </w:divsChild>
                                    </w:div>
                                    <w:div w:id="1387413052">
                                      <w:marLeft w:val="0"/>
                                      <w:marRight w:val="0"/>
                                      <w:marTop w:val="0"/>
                                      <w:marBottom w:val="0"/>
                                      <w:divBdr>
                                        <w:top w:val="none" w:sz="0" w:space="0" w:color="auto"/>
                                        <w:left w:val="none" w:sz="0" w:space="0" w:color="auto"/>
                                        <w:bottom w:val="none" w:sz="0" w:space="0" w:color="auto"/>
                                        <w:right w:val="none" w:sz="0" w:space="0" w:color="auto"/>
                                      </w:divBdr>
                                      <w:divsChild>
                                        <w:div w:id="1312910155">
                                          <w:marLeft w:val="0"/>
                                          <w:marRight w:val="0"/>
                                          <w:marTop w:val="0"/>
                                          <w:marBottom w:val="0"/>
                                          <w:divBdr>
                                            <w:top w:val="none" w:sz="0" w:space="0" w:color="auto"/>
                                            <w:left w:val="none" w:sz="0" w:space="0" w:color="auto"/>
                                            <w:bottom w:val="none" w:sz="0" w:space="0" w:color="auto"/>
                                            <w:right w:val="none" w:sz="0" w:space="0" w:color="auto"/>
                                          </w:divBdr>
                                        </w:div>
                                        <w:div w:id="1386298761">
                                          <w:marLeft w:val="0"/>
                                          <w:marRight w:val="0"/>
                                          <w:marTop w:val="0"/>
                                          <w:marBottom w:val="0"/>
                                          <w:divBdr>
                                            <w:top w:val="none" w:sz="0" w:space="0" w:color="auto"/>
                                            <w:left w:val="none" w:sz="0" w:space="0" w:color="auto"/>
                                            <w:bottom w:val="none" w:sz="0" w:space="0" w:color="auto"/>
                                            <w:right w:val="none" w:sz="0" w:space="0" w:color="auto"/>
                                          </w:divBdr>
                                        </w:div>
                                      </w:divsChild>
                                    </w:div>
                                    <w:div w:id="1849783608">
                                      <w:marLeft w:val="0"/>
                                      <w:marRight w:val="0"/>
                                      <w:marTop w:val="0"/>
                                      <w:marBottom w:val="0"/>
                                      <w:divBdr>
                                        <w:top w:val="none" w:sz="0" w:space="0" w:color="auto"/>
                                        <w:left w:val="none" w:sz="0" w:space="0" w:color="auto"/>
                                        <w:bottom w:val="none" w:sz="0" w:space="0" w:color="auto"/>
                                        <w:right w:val="none" w:sz="0" w:space="0" w:color="auto"/>
                                      </w:divBdr>
                                      <w:divsChild>
                                        <w:div w:id="828407582">
                                          <w:marLeft w:val="0"/>
                                          <w:marRight w:val="0"/>
                                          <w:marTop w:val="0"/>
                                          <w:marBottom w:val="0"/>
                                          <w:divBdr>
                                            <w:top w:val="none" w:sz="0" w:space="0" w:color="auto"/>
                                            <w:left w:val="none" w:sz="0" w:space="0" w:color="auto"/>
                                            <w:bottom w:val="none" w:sz="0" w:space="0" w:color="auto"/>
                                            <w:right w:val="none" w:sz="0" w:space="0" w:color="auto"/>
                                          </w:divBdr>
                                        </w:div>
                                        <w:div w:id="1179538184">
                                          <w:marLeft w:val="0"/>
                                          <w:marRight w:val="0"/>
                                          <w:marTop w:val="0"/>
                                          <w:marBottom w:val="0"/>
                                          <w:divBdr>
                                            <w:top w:val="none" w:sz="0" w:space="0" w:color="auto"/>
                                            <w:left w:val="none" w:sz="0" w:space="0" w:color="auto"/>
                                            <w:bottom w:val="none" w:sz="0" w:space="0" w:color="auto"/>
                                            <w:right w:val="none" w:sz="0" w:space="0" w:color="auto"/>
                                          </w:divBdr>
                                        </w:div>
                                      </w:divsChild>
                                    </w:div>
                                    <w:div w:id="1908412658">
                                      <w:marLeft w:val="0"/>
                                      <w:marRight w:val="0"/>
                                      <w:marTop w:val="0"/>
                                      <w:marBottom w:val="0"/>
                                      <w:divBdr>
                                        <w:top w:val="none" w:sz="0" w:space="0" w:color="auto"/>
                                        <w:left w:val="none" w:sz="0" w:space="0" w:color="auto"/>
                                        <w:bottom w:val="none" w:sz="0" w:space="0" w:color="auto"/>
                                        <w:right w:val="none" w:sz="0" w:space="0" w:color="auto"/>
                                      </w:divBdr>
                                      <w:divsChild>
                                        <w:div w:id="367729793">
                                          <w:marLeft w:val="0"/>
                                          <w:marRight w:val="0"/>
                                          <w:marTop w:val="0"/>
                                          <w:marBottom w:val="0"/>
                                          <w:divBdr>
                                            <w:top w:val="none" w:sz="0" w:space="0" w:color="auto"/>
                                            <w:left w:val="none" w:sz="0" w:space="0" w:color="auto"/>
                                            <w:bottom w:val="none" w:sz="0" w:space="0" w:color="auto"/>
                                            <w:right w:val="none" w:sz="0" w:space="0" w:color="auto"/>
                                          </w:divBdr>
                                        </w:div>
                                        <w:div w:id="488054952">
                                          <w:marLeft w:val="0"/>
                                          <w:marRight w:val="0"/>
                                          <w:marTop w:val="0"/>
                                          <w:marBottom w:val="0"/>
                                          <w:divBdr>
                                            <w:top w:val="none" w:sz="0" w:space="0" w:color="auto"/>
                                            <w:left w:val="none" w:sz="0" w:space="0" w:color="auto"/>
                                            <w:bottom w:val="none" w:sz="0" w:space="0" w:color="auto"/>
                                            <w:right w:val="none" w:sz="0" w:space="0" w:color="auto"/>
                                          </w:divBdr>
                                        </w:div>
                                      </w:divsChild>
                                    </w:div>
                                    <w:div w:id="1702591895">
                                      <w:marLeft w:val="0"/>
                                      <w:marRight w:val="0"/>
                                      <w:marTop w:val="0"/>
                                      <w:marBottom w:val="0"/>
                                      <w:divBdr>
                                        <w:top w:val="none" w:sz="0" w:space="0" w:color="auto"/>
                                        <w:left w:val="none" w:sz="0" w:space="0" w:color="auto"/>
                                        <w:bottom w:val="none" w:sz="0" w:space="0" w:color="auto"/>
                                        <w:right w:val="none" w:sz="0" w:space="0" w:color="auto"/>
                                      </w:divBdr>
                                      <w:divsChild>
                                        <w:div w:id="510073302">
                                          <w:marLeft w:val="0"/>
                                          <w:marRight w:val="0"/>
                                          <w:marTop w:val="0"/>
                                          <w:marBottom w:val="0"/>
                                          <w:divBdr>
                                            <w:top w:val="none" w:sz="0" w:space="0" w:color="auto"/>
                                            <w:left w:val="none" w:sz="0" w:space="0" w:color="auto"/>
                                            <w:bottom w:val="none" w:sz="0" w:space="0" w:color="auto"/>
                                            <w:right w:val="none" w:sz="0" w:space="0" w:color="auto"/>
                                          </w:divBdr>
                                        </w:div>
                                        <w:div w:id="108568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83109">
                                  <w:marLeft w:val="0"/>
                                  <w:marRight w:val="0"/>
                                  <w:marTop w:val="0"/>
                                  <w:marBottom w:val="0"/>
                                  <w:divBdr>
                                    <w:top w:val="none" w:sz="0" w:space="0" w:color="auto"/>
                                    <w:left w:val="none" w:sz="0" w:space="0" w:color="auto"/>
                                    <w:bottom w:val="none" w:sz="0" w:space="0" w:color="auto"/>
                                    <w:right w:val="none" w:sz="0" w:space="0" w:color="auto"/>
                                  </w:divBdr>
                                  <w:divsChild>
                                    <w:div w:id="1832141043">
                                      <w:marLeft w:val="0"/>
                                      <w:marRight w:val="0"/>
                                      <w:marTop w:val="0"/>
                                      <w:marBottom w:val="0"/>
                                      <w:divBdr>
                                        <w:top w:val="none" w:sz="0" w:space="0" w:color="auto"/>
                                        <w:left w:val="none" w:sz="0" w:space="0" w:color="auto"/>
                                        <w:bottom w:val="none" w:sz="0" w:space="0" w:color="auto"/>
                                        <w:right w:val="none" w:sz="0" w:space="0" w:color="auto"/>
                                      </w:divBdr>
                                    </w:div>
                                    <w:div w:id="868837559">
                                      <w:marLeft w:val="0"/>
                                      <w:marRight w:val="0"/>
                                      <w:marTop w:val="0"/>
                                      <w:marBottom w:val="0"/>
                                      <w:divBdr>
                                        <w:top w:val="none" w:sz="0" w:space="0" w:color="auto"/>
                                        <w:left w:val="none" w:sz="0" w:space="0" w:color="auto"/>
                                        <w:bottom w:val="none" w:sz="0" w:space="0" w:color="auto"/>
                                        <w:right w:val="none" w:sz="0" w:space="0" w:color="auto"/>
                                      </w:divBdr>
                                    </w:div>
                                  </w:divsChild>
                                </w:div>
                                <w:div w:id="1200432238">
                                  <w:marLeft w:val="0"/>
                                  <w:marRight w:val="0"/>
                                  <w:marTop w:val="0"/>
                                  <w:marBottom w:val="0"/>
                                  <w:divBdr>
                                    <w:top w:val="none" w:sz="0" w:space="0" w:color="auto"/>
                                    <w:left w:val="none" w:sz="0" w:space="0" w:color="auto"/>
                                    <w:bottom w:val="none" w:sz="0" w:space="0" w:color="auto"/>
                                    <w:right w:val="none" w:sz="0" w:space="0" w:color="auto"/>
                                  </w:divBdr>
                                  <w:divsChild>
                                    <w:div w:id="1423261964">
                                      <w:marLeft w:val="0"/>
                                      <w:marRight w:val="0"/>
                                      <w:marTop w:val="0"/>
                                      <w:marBottom w:val="0"/>
                                      <w:divBdr>
                                        <w:top w:val="none" w:sz="0" w:space="0" w:color="auto"/>
                                        <w:left w:val="none" w:sz="0" w:space="0" w:color="auto"/>
                                        <w:bottom w:val="none" w:sz="0" w:space="0" w:color="auto"/>
                                        <w:right w:val="none" w:sz="0" w:space="0" w:color="auto"/>
                                      </w:divBdr>
                                      <w:divsChild>
                                        <w:div w:id="884366904">
                                          <w:marLeft w:val="0"/>
                                          <w:marRight w:val="0"/>
                                          <w:marTop w:val="0"/>
                                          <w:marBottom w:val="0"/>
                                          <w:divBdr>
                                            <w:top w:val="none" w:sz="0" w:space="0" w:color="auto"/>
                                            <w:left w:val="none" w:sz="0" w:space="0" w:color="auto"/>
                                            <w:bottom w:val="none" w:sz="0" w:space="0" w:color="auto"/>
                                            <w:right w:val="none" w:sz="0" w:space="0" w:color="auto"/>
                                          </w:divBdr>
                                        </w:div>
                                        <w:div w:id="1661231436">
                                          <w:marLeft w:val="0"/>
                                          <w:marRight w:val="0"/>
                                          <w:marTop w:val="0"/>
                                          <w:marBottom w:val="0"/>
                                          <w:divBdr>
                                            <w:top w:val="none" w:sz="0" w:space="0" w:color="auto"/>
                                            <w:left w:val="none" w:sz="0" w:space="0" w:color="auto"/>
                                            <w:bottom w:val="none" w:sz="0" w:space="0" w:color="auto"/>
                                            <w:right w:val="none" w:sz="0" w:space="0" w:color="auto"/>
                                          </w:divBdr>
                                          <w:divsChild>
                                            <w:div w:id="7177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4037">
                                      <w:marLeft w:val="0"/>
                                      <w:marRight w:val="0"/>
                                      <w:marTop w:val="0"/>
                                      <w:marBottom w:val="0"/>
                                      <w:divBdr>
                                        <w:top w:val="none" w:sz="0" w:space="0" w:color="auto"/>
                                        <w:left w:val="none" w:sz="0" w:space="0" w:color="auto"/>
                                        <w:bottom w:val="none" w:sz="0" w:space="0" w:color="auto"/>
                                        <w:right w:val="none" w:sz="0" w:space="0" w:color="auto"/>
                                      </w:divBdr>
                                      <w:divsChild>
                                        <w:div w:id="1958683771">
                                          <w:marLeft w:val="0"/>
                                          <w:marRight w:val="0"/>
                                          <w:marTop w:val="0"/>
                                          <w:marBottom w:val="0"/>
                                          <w:divBdr>
                                            <w:top w:val="none" w:sz="0" w:space="0" w:color="auto"/>
                                            <w:left w:val="none" w:sz="0" w:space="0" w:color="auto"/>
                                            <w:bottom w:val="none" w:sz="0" w:space="0" w:color="auto"/>
                                            <w:right w:val="none" w:sz="0" w:space="0" w:color="auto"/>
                                          </w:divBdr>
                                        </w:div>
                                        <w:div w:id="629359449">
                                          <w:marLeft w:val="0"/>
                                          <w:marRight w:val="0"/>
                                          <w:marTop w:val="0"/>
                                          <w:marBottom w:val="0"/>
                                          <w:divBdr>
                                            <w:top w:val="none" w:sz="0" w:space="0" w:color="auto"/>
                                            <w:left w:val="none" w:sz="0" w:space="0" w:color="auto"/>
                                            <w:bottom w:val="none" w:sz="0" w:space="0" w:color="auto"/>
                                            <w:right w:val="none" w:sz="0" w:space="0" w:color="auto"/>
                                          </w:divBdr>
                                        </w:div>
                                      </w:divsChild>
                                    </w:div>
                                    <w:div w:id="795877486">
                                      <w:marLeft w:val="0"/>
                                      <w:marRight w:val="0"/>
                                      <w:marTop w:val="0"/>
                                      <w:marBottom w:val="0"/>
                                      <w:divBdr>
                                        <w:top w:val="none" w:sz="0" w:space="0" w:color="auto"/>
                                        <w:left w:val="none" w:sz="0" w:space="0" w:color="auto"/>
                                        <w:bottom w:val="none" w:sz="0" w:space="0" w:color="auto"/>
                                        <w:right w:val="none" w:sz="0" w:space="0" w:color="auto"/>
                                      </w:divBdr>
                                      <w:divsChild>
                                        <w:div w:id="1529753478">
                                          <w:marLeft w:val="0"/>
                                          <w:marRight w:val="0"/>
                                          <w:marTop w:val="0"/>
                                          <w:marBottom w:val="0"/>
                                          <w:divBdr>
                                            <w:top w:val="none" w:sz="0" w:space="0" w:color="auto"/>
                                            <w:left w:val="none" w:sz="0" w:space="0" w:color="auto"/>
                                            <w:bottom w:val="none" w:sz="0" w:space="0" w:color="auto"/>
                                            <w:right w:val="none" w:sz="0" w:space="0" w:color="auto"/>
                                          </w:divBdr>
                                        </w:div>
                                        <w:div w:id="1064570549">
                                          <w:marLeft w:val="0"/>
                                          <w:marRight w:val="0"/>
                                          <w:marTop w:val="0"/>
                                          <w:marBottom w:val="0"/>
                                          <w:divBdr>
                                            <w:top w:val="none" w:sz="0" w:space="0" w:color="auto"/>
                                            <w:left w:val="none" w:sz="0" w:space="0" w:color="auto"/>
                                            <w:bottom w:val="none" w:sz="0" w:space="0" w:color="auto"/>
                                            <w:right w:val="none" w:sz="0" w:space="0" w:color="auto"/>
                                          </w:divBdr>
                                        </w:div>
                                      </w:divsChild>
                                    </w:div>
                                    <w:div w:id="946691715">
                                      <w:marLeft w:val="0"/>
                                      <w:marRight w:val="0"/>
                                      <w:marTop w:val="0"/>
                                      <w:marBottom w:val="0"/>
                                      <w:divBdr>
                                        <w:top w:val="none" w:sz="0" w:space="0" w:color="auto"/>
                                        <w:left w:val="none" w:sz="0" w:space="0" w:color="auto"/>
                                        <w:bottom w:val="none" w:sz="0" w:space="0" w:color="auto"/>
                                        <w:right w:val="none" w:sz="0" w:space="0" w:color="auto"/>
                                      </w:divBdr>
                                      <w:divsChild>
                                        <w:div w:id="561988355">
                                          <w:marLeft w:val="0"/>
                                          <w:marRight w:val="0"/>
                                          <w:marTop w:val="0"/>
                                          <w:marBottom w:val="0"/>
                                          <w:divBdr>
                                            <w:top w:val="none" w:sz="0" w:space="0" w:color="auto"/>
                                            <w:left w:val="none" w:sz="0" w:space="0" w:color="auto"/>
                                            <w:bottom w:val="none" w:sz="0" w:space="0" w:color="auto"/>
                                            <w:right w:val="none" w:sz="0" w:space="0" w:color="auto"/>
                                          </w:divBdr>
                                        </w:div>
                                        <w:div w:id="1586303899">
                                          <w:marLeft w:val="0"/>
                                          <w:marRight w:val="0"/>
                                          <w:marTop w:val="0"/>
                                          <w:marBottom w:val="0"/>
                                          <w:divBdr>
                                            <w:top w:val="none" w:sz="0" w:space="0" w:color="auto"/>
                                            <w:left w:val="none" w:sz="0" w:space="0" w:color="auto"/>
                                            <w:bottom w:val="none" w:sz="0" w:space="0" w:color="auto"/>
                                            <w:right w:val="none" w:sz="0" w:space="0" w:color="auto"/>
                                          </w:divBdr>
                                        </w:div>
                                      </w:divsChild>
                                    </w:div>
                                    <w:div w:id="931201975">
                                      <w:marLeft w:val="0"/>
                                      <w:marRight w:val="0"/>
                                      <w:marTop w:val="0"/>
                                      <w:marBottom w:val="0"/>
                                      <w:divBdr>
                                        <w:top w:val="none" w:sz="0" w:space="0" w:color="auto"/>
                                        <w:left w:val="none" w:sz="0" w:space="0" w:color="auto"/>
                                        <w:bottom w:val="none" w:sz="0" w:space="0" w:color="auto"/>
                                        <w:right w:val="none" w:sz="0" w:space="0" w:color="auto"/>
                                      </w:divBdr>
                                      <w:divsChild>
                                        <w:div w:id="1787769041">
                                          <w:marLeft w:val="0"/>
                                          <w:marRight w:val="0"/>
                                          <w:marTop w:val="0"/>
                                          <w:marBottom w:val="0"/>
                                          <w:divBdr>
                                            <w:top w:val="none" w:sz="0" w:space="0" w:color="auto"/>
                                            <w:left w:val="none" w:sz="0" w:space="0" w:color="auto"/>
                                            <w:bottom w:val="none" w:sz="0" w:space="0" w:color="auto"/>
                                            <w:right w:val="none" w:sz="0" w:space="0" w:color="auto"/>
                                          </w:divBdr>
                                        </w:div>
                                        <w:div w:id="1282492292">
                                          <w:marLeft w:val="0"/>
                                          <w:marRight w:val="0"/>
                                          <w:marTop w:val="0"/>
                                          <w:marBottom w:val="0"/>
                                          <w:divBdr>
                                            <w:top w:val="none" w:sz="0" w:space="0" w:color="auto"/>
                                            <w:left w:val="none" w:sz="0" w:space="0" w:color="auto"/>
                                            <w:bottom w:val="none" w:sz="0" w:space="0" w:color="auto"/>
                                            <w:right w:val="none" w:sz="0" w:space="0" w:color="auto"/>
                                          </w:divBdr>
                                        </w:div>
                                      </w:divsChild>
                                    </w:div>
                                    <w:div w:id="800417792">
                                      <w:marLeft w:val="0"/>
                                      <w:marRight w:val="0"/>
                                      <w:marTop w:val="0"/>
                                      <w:marBottom w:val="0"/>
                                      <w:divBdr>
                                        <w:top w:val="none" w:sz="0" w:space="0" w:color="auto"/>
                                        <w:left w:val="none" w:sz="0" w:space="0" w:color="auto"/>
                                        <w:bottom w:val="none" w:sz="0" w:space="0" w:color="auto"/>
                                        <w:right w:val="none" w:sz="0" w:space="0" w:color="auto"/>
                                      </w:divBdr>
                                      <w:divsChild>
                                        <w:div w:id="271859968">
                                          <w:marLeft w:val="0"/>
                                          <w:marRight w:val="0"/>
                                          <w:marTop w:val="0"/>
                                          <w:marBottom w:val="0"/>
                                          <w:divBdr>
                                            <w:top w:val="none" w:sz="0" w:space="0" w:color="auto"/>
                                            <w:left w:val="none" w:sz="0" w:space="0" w:color="auto"/>
                                            <w:bottom w:val="none" w:sz="0" w:space="0" w:color="auto"/>
                                            <w:right w:val="none" w:sz="0" w:space="0" w:color="auto"/>
                                          </w:divBdr>
                                        </w:div>
                                        <w:div w:id="181821508">
                                          <w:marLeft w:val="0"/>
                                          <w:marRight w:val="0"/>
                                          <w:marTop w:val="0"/>
                                          <w:marBottom w:val="0"/>
                                          <w:divBdr>
                                            <w:top w:val="none" w:sz="0" w:space="0" w:color="auto"/>
                                            <w:left w:val="none" w:sz="0" w:space="0" w:color="auto"/>
                                            <w:bottom w:val="none" w:sz="0" w:space="0" w:color="auto"/>
                                            <w:right w:val="none" w:sz="0" w:space="0" w:color="auto"/>
                                          </w:divBdr>
                                          <w:divsChild>
                                            <w:div w:id="66112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88473">
                                      <w:marLeft w:val="0"/>
                                      <w:marRight w:val="0"/>
                                      <w:marTop w:val="0"/>
                                      <w:marBottom w:val="0"/>
                                      <w:divBdr>
                                        <w:top w:val="none" w:sz="0" w:space="0" w:color="auto"/>
                                        <w:left w:val="none" w:sz="0" w:space="0" w:color="auto"/>
                                        <w:bottom w:val="none" w:sz="0" w:space="0" w:color="auto"/>
                                        <w:right w:val="none" w:sz="0" w:space="0" w:color="auto"/>
                                      </w:divBdr>
                                      <w:divsChild>
                                        <w:div w:id="1968704240">
                                          <w:marLeft w:val="0"/>
                                          <w:marRight w:val="0"/>
                                          <w:marTop w:val="0"/>
                                          <w:marBottom w:val="0"/>
                                          <w:divBdr>
                                            <w:top w:val="none" w:sz="0" w:space="0" w:color="auto"/>
                                            <w:left w:val="none" w:sz="0" w:space="0" w:color="auto"/>
                                            <w:bottom w:val="none" w:sz="0" w:space="0" w:color="auto"/>
                                            <w:right w:val="none" w:sz="0" w:space="0" w:color="auto"/>
                                          </w:divBdr>
                                        </w:div>
                                        <w:div w:id="244146040">
                                          <w:marLeft w:val="0"/>
                                          <w:marRight w:val="0"/>
                                          <w:marTop w:val="0"/>
                                          <w:marBottom w:val="0"/>
                                          <w:divBdr>
                                            <w:top w:val="none" w:sz="0" w:space="0" w:color="auto"/>
                                            <w:left w:val="none" w:sz="0" w:space="0" w:color="auto"/>
                                            <w:bottom w:val="none" w:sz="0" w:space="0" w:color="auto"/>
                                            <w:right w:val="none" w:sz="0" w:space="0" w:color="auto"/>
                                          </w:divBdr>
                                          <w:divsChild>
                                            <w:div w:id="5199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42642">
                                      <w:marLeft w:val="0"/>
                                      <w:marRight w:val="0"/>
                                      <w:marTop w:val="0"/>
                                      <w:marBottom w:val="0"/>
                                      <w:divBdr>
                                        <w:top w:val="none" w:sz="0" w:space="0" w:color="auto"/>
                                        <w:left w:val="none" w:sz="0" w:space="0" w:color="auto"/>
                                        <w:bottom w:val="none" w:sz="0" w:space="0" w:color="auto"/>
                                        <w:right w:val="none" w:sz="0" w:space="0" w:color="auto"/>
                                      </w:divBdr>
                                      <w:divsChild>
                                        <w:div w:id="1624264232">
                                          <w:marLeft w:val="0"/>
                                          <w:marRight w:val="0"/>
                                          <w:marTop w:val="0"/>
                                          <w:marBottom w:val="0"/>
                                          <w:divBdr>
                                            <w:top w:val="none" w:sz="0" w:space="0" w:color="auto"/>
                                            <w:left w:val="none" w:sz="0" w:space="0" w:color="auto"/>
                                            <w:bottom w:val="none" w:sz="0" w:space="0" w:color="auto"/>
                                            <w:right w:val="none" w:sz="0" w:space="0" w:color="auto"/>
                                          </w:divBdr>
                                        </w:div>
                                        <w:div w:id="1729256979">
                                          <w:marLeft w:val="0"/>
                                          <w:marRight w:val="0"/>
                                          <w:marTop w:val="0"/>
                                          <w:marBottom w:val="0"/>
                                          <w:divBdr>
                                            <w:top w:val="none" w:sz="0" w:space="0" w:color="auto"/>
                                            <w:left w:val="none" w:sz="0" w:space="0" w:color="auto"/>
                                            <w:bottom w:val="none" w:sz="0" w:space="0" w:color="auto"/>
                                            <w:right w:val="none" w:sz="0" w:space="0" w:color="auto"/>
                                          </w:divBdr>
                                          <w:divsChild>
                                            <w:div w:id="413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2721">
                                      <w:marLeft w:val="0"/>
                                      <w:marRight w:val="0"/>
                                      <w:marTop w:val="0"/>
                                      <w:marBottom w:val="0"/>
                                      <w:divBdr>
                                        <w:top w:val="none" w:sz="0" w:space="0" w:color="auto"/>
                                        <w:left w:val="none" w:sz="0" w:space="0" w:color="auto"/>
                                        <w:bottom w:val="none" w:sz="0" w:space="0" w:color="auto"/>
                                        <w:right w:val="none" w:sz="0" w:space="0" w:color="auto"/>
                                      </w:divBdr>
                                      <w:divsChild>
                                        <w:div w:id="64108985">
                                          <w:marLeft w:val="0"/>
                                          <w:marRight w:val="0"/>
                                          <w:marTop w:val="0"/>
                                          <w:marBottom w:val="0"/>
                                          <w:divBdr>
                                            <w:top w:val="none" w:sz="0" w:space="0" w:color="auto"/>
                                            <w:left w:val="none" w:sz="0" w:space="0" w:color="auto"/>
                                            <w:bottom w:val="none" w:sz="0" w:space="0" w:color="auto"/>
                                            <w:right w:val="none" w:sz="0" w:space="0" w:color="auto"/>
                                          </w:divBdr>
                                        </w:div>
                                        <w:div w:id="314603492">
                                          <w:marLeft w:val="0"/>
                                          <w:marRight w:val="0"/>
                                          <w:marTop w:val="0"/>
                                          <w:marBottom w:val="0"/>
                                          <w:divBdr>
                                            <w:top w:val="none" w:sz="0" w:space="0" w:color="auto"/>
                                            <w:left w:val="none" w:sz="0" w:space="0" w:color="auto"/>
                                            <w:bottom w:val="none" w:sz="0" w:space="0" w:color="auto"/>
                                            <w:right w:val="none" w:sz="0" w:space="0" w:color="auto"/>
                                          </w:divBdr>
                                        </w:div>
                                      </w:divsChild>
                                    </w:div>
                                    <w:div w:id="1498613255">
                                      <w:marLeft w:val="0"/>
                                      <w:marRight w:val="0"/>
                                      <w:marTop w:val="0"/>
                                      <w:marBottom w:val="0"/>
                                      <w:divBdr>
                                        <w:top w:val="none" w:sz="0" w:space="0" w:color="auto"/>
                                        <w:left w:val="none" w:sz="0" w:space="0" w:color="auto"/>
                                        <w:bottom w:val="none" w:sz="0" w:space="0" w:color="auto"/>
                                        <w:right w:val="none" w:sz="0" w:space="0" w:color="auto"/>
                                      </w:divBdr>
                                      <w:divsChild>
                                        <w:div w:id="1645888754">
                                          <w:marLeft w:val="0"/>
                                          <w:marRight w:val="0"/>
                                          <w:marTop w:val="0"/>
                                          <w:marBottom w:val="0"/>
                                          <w:divBdr>
                                            <w:top w:val="none" w:sz="0" w:space="0" w:color="auto"/>
                                            <w:left w:val="none" w:sz="0" w:space="0" w:color="auto"/>
                                            <w:bottom w:val="none" w:sz="0" w:space="0" w:color="auto"/>
                                            <w:right w:val="none" w:sz="0" w:space="0" w:color="auto"/>
                                          </w:divBdr>
                                        </w:div>
                                        <w:div w:id="703484819">
                                          <w:marLeft w:val="0"/>
                                          <w:marRight w:val="0"/>
                                          <w:marTop w:val="0"/>
                                          <w:marBottom w:val="0"/>
                                          <w:divBdr>
                                            <w:top w:val="none" w:sz="0" w:space="0" w:color="auto"/>
                                            <w:left w:val="none" w:sz="0" w:space="0" w:color="auto"/>
                                            <w:bottom w:val="none" w:sz="0" w:space="0" w:color="auto"/>
                                            <w:right w:val="none" w:sz="0" w:space="0" w:color="auto"/>
                                          </w:divBdr>
                                          <w:divsChild>
                                            <w:div w:id="4877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7895">
                                      <w:marLeft w:val="0"/>
                                      <w:marRight w:val="0"/>
                                      <w:marTop w:val="0"/>
                                      <w:marBottom w:val="0"/>
                                      <w:divBdr>
                                        <w:top w:val="none" w:sz="0" w:space="0" w:color="auto"/>
                                        <w:left w:val="none" w:sz="0" w:space="0" w:color="auto"/>
                                        <w:bottom w:val="none" w:sz="0" w:space="0" w:color="auto"/>
                                        <w:right w:val="none" w:sz="0" w:space="0" w:color="auto"/>
                                      </w:divBdr>
                                      <w:divsChild>
                                        <w:div w:id="1157456162">
                                          <w:marLeft w:val="0"/>
                                          <w:marRight w:val="0"/>
                                          <w:marTop w:val="0"/>
                                          <w:marBottom w:val="0"/>
                                          <w:divBdr>
                                            <w:top w:val="none" w:sz="0" w:space="0" w:color="auto"/>
                                            <w:left w:val="none" w:sz="0" w:space="0" w:color="auto"/>
                                            <w:bottom w:val="none" w:sz="0" w:space="0" w:color="auto"/>
                                            <w:right w:val="none" w:sz="0" w:space="0" w:color="auto"/>
                                          </w:divBdr>
                                        </w:div>
                                        <w:div w:id="1973633658">
                                          <w:marLeft w:val="0"/>
                                          <w:marRight w:val="0"/>
                                          <w:marTop w:val="0"/>
                                          <w:marBottom w:val="0"/>
                                          <w:divBdr>
                                            <w:top w:val="none" w:sz="0" w:space="0" w:color="auto"/>
                                            <w:left w:val="none" w:sz="0" w:space="0" w:color="auto"/>
                                            <w:bottom w:val="none" w:sz="0" w:space="0" w:color="auto"/>
                                            <w:right w:val="none" w:sz="0" w:space="0" w:color="auto"/>
                                          </w:divBdr>
                                        </w:div>
                                      </w:divsChild>
                                    </w:div>
                                    <w:div w:id="1840924470">
                                      <w:marLeft w:val="0"/>
                                      <w:marRight w:val="0"/>
                                      <w:marTop w:val="0"/>
                                      <w:marBottom w:val="0"/>
                                      <w:divBdr>
                                        <w:top w:val="none" w:sz="0" w:space="0" w:color="auto"/>
                                        <w:left w:val="none" w:sz="0" w:space="0" w:color="auto"/>
                                        <w:bottom w:val="none" w:sz="0" w:space="0" w:color="auto"/>
                                        <w:right w:val="none" w:sz="0" w:space="0" w:color="auto"/>
                                      </w:divBdr>
                                      <w:divsChild>
                                        <w:div w:id="1509636102">
                                          <w:marLeft w:val="0"/>
                                          <w:marRight w:val="0"/>
                                          <w:marTop w:val="0"/>
                                          <w:marBottom w:val="0"/>
                                          <w:divBdr>
                                            <w:top w:val="none" w:sz="0" w:space="0" w:color="auto"/>
                                            <w:left w:val="none" w:sz="0" w:space="0" w:color="auto"/>
                                            <w:bottom w:val="none" w:sz="0" w:space="0" w:color="auto"/>
                                            <w:right w:val="none" w:sz="0" w:space="0" w:color="auto"/>
                                          </w:divBdr>
                                        </w:div>
                                        <w:div w:id="537935265">
                                          <w:marLeft w:val="0"/>
                                          <w:marRight w:val="0"/>
                                          <w:marTop w:val="0"/>
                                          <w:marBottom w:val="0"/>
                                          <w:divBdr>
                                            <w:top w:val="none" w:sz="0" w:space="0" w:color="auto"/>
                                            <w:left w:val="none" w:sz="0" w:space="0" w:color="auto"/>
                                            <w:bottom w:val="none" w:sz="0" w:space="0" w:color="auto"/>
                                            <w:right w:val="none" w:sz="0" w:space="0" w:color="auto"/>
                                          </w:divBdr>
                                          <w:divsChild>
                                            <w:div w:id="138309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349480">
                                      <w:marLeft w:val="0"/>
                                      <w:marRight w:val="0"/>
                                      <w:marTop w:val="0"/>
                                      <w:marBottom w:val="0"/>
                                      <w:divBdr>
                                        <w:top w:val="none" w:sz="0" w:space="0" w:color="auto"/>
                                        <w:left w:val="none" w:sz="0" w:space="0" w:color="auto"/>
                                        <w:bottom w:val="none" w:sz="0" w:space="0" w:color="auto"/>
                                        <w:right w:val="none" w:sz="0" w:space="0" w:color="auto"/>
                                      </w:divBdr>
                                      <w:divsChild>
                                        <w:div w:id="122306609">
                                          <w:marLeft w:val="0"/>
                                          <w:marRight w:val="0"/>
                                          <w:marTop w:val="0"/>
                                          <w:marBottom w:val="0"/>
                                          <w:divBdr>
                                            <w:top w:val="none" w:sz="0" w:space="0" w:color="auto"/>
                                            <w:left w:val="none" w:sz="0" w:space="0" w:color="auto"/>
                                            <w:bottom w:val="none" w:sz="0" w:space="0" w:color="auto"/>
                                            <w:right w:val="none" w:sz="0" w:space="0" w:color="auto"/>
                                          </w:divBdr>
                                        </w:div>
                                        <w:div w:id="980764695">
                                          <w:marLeft w:val="0"/>
                                          <w:marRight w:val="0"/>
                                          <w:marTop w:val="0"/>
                                          <w:marBottom w:val="0"/>
                                          <w:divBdr>
                                            <w:top w:val="none" w:sz="0" w:space="0" w:color="auto"/>
                                            <w:left w:val="none" w:sz="0" w:space="0" w:color="auto"/>
                                            <w:bottom w:val="none" w:sz="0" w:space="0" w:color="auto"/>
                                            <w:right w:val="none" w:sz="0" w:space="0" w:color="auto"/>
                                          </w:divBdr>
                                          <w:divsChild>
                                            <w:div w:id="5891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72994">
                                      <w:marLeft w:val="0"/>
                                      <w:marRight w:val="0"/>
                                      <w:marTop w:val="0"/>
                                      <w:marBottom w:val="0"/>
                                      <w:divBdr>
                                        <w:top w:val="none" w:sz="0" w:space="0" w:color="auto"/>
                                        <w:left w:val="none" w:sz="0" w:space="0" w:color="auto"/>
                                        <w:bottom w:val="none" w:sz="0" w:space="0" w:color="auto"/>
                                        <w:right w:val="none" w:sz="0" w:space="0" w:color="auto"/>
                                      </w:divBdr>
                                      <w:divsChild>
                                        <w:div w:id="1193493104">
                                          <w:marLeft w:val="0"/>
                                          <w:marRight w:val="0"/>
                                          <w:marTop w:val="0"/>
                                          <w:marBottom w:val="0"/>
                                          <w:divBdr>
                                            <w:top w:val="none" w:sz="0" w:space="0" w:color="auto"/>
                                            <w:left w:val="none" w:sz="0" w:space="0" w:color="auto"/>
                                            <w:bottom w:val="none" w:sz="0" w:space="0" w:color="auto"/>
                                            <w:right w:val="none" w:sz="0" w:space="0" w:color="auto"/>
                                          </w:divBdr>
                                        </w:div>
                                        <w:div w:id="1304966141">
                                          <w:marLeft w:val="0"/>
                                          <w:marRight w:val="0"/>
                                          <w:marTop w:val="0"/>
                                          <w:marBottom w:val="0"/>
                                          <w:divBdr>
                                            <w:top w:val="none" w:sz="0" w:space="0" w:color="auto"/>
                                            <w:left w:val="none" w:sz="0" w:space="0" w:color="auto"/>
                                            <w:bottom w:val="none" w:sz="0" w:space="0" w:color="auto"/>
                                            <w:right w:val="none" w:sz="0" w:space="0" w:color="auto"/>
                                          </w:divBdr>
                                          <w:divsChild>
                                            <w:div w:id="173920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42919">
                                      <w:marLeft w:val="0"/>
                                      <w:marRight w:val="0"/>
                                      <w:marTop w:val="0"/>
                                      <w:marBottom w:val="0"/>
                                      <w:divBdr>
                                        <w:top w:val="none" w:sz="0" w:space="0" w:color="auto"/>
                                        <w:left w:val="none" w:sz="0" w:space="0" w:color="auto"/>
                                        <w:bottom w:val="none" w:sz="0" w:space="0" w:color="auto"/>
                                        <w:right w:val="none" w:sz="0" w:space="0" w:color="auto"/>
                                      </w:divBdr>
                                      <w:divsChild>
                                        <w:div w:id="1079249578">
                                          <w:marLeft w:val="0"/>
                                          <w:marRight w:val="0"/>
                                          <w:marTop w:val="0"/>
                                          <w:marBottom w:val="0"/>
                                          <w:divBdr>
                                            <w:top w:val="none" w:sz="0" w:space="0" w:color="auto"/>
                                            <w:left w:val="none" w:sz="0" w:space="0" w:color="auto"/>
                                            <w:bottom w:val="none" w:sz="0" w:space="0" w:color="auto"/>
                                            <w:right w:val="none" w:sz="0" w:space="0" w:color="auto"/>
                                          </w:divBdr>
                                        </w:div>
                                        <w:div w:id="1222593363">
                                          <w:marLeft w:val="0"/>
                                          <w:marRight w:val="0"/>
                                          <w:marTop w:val="0"/>
                                          <w:marBottom w:val="0"/>
                                          <w:divBdr>
                                            <w:top w:val="none" w:sz="0" w:space="0" w:color="auto"/>
                                            <w:left w:val="none" w:sz="0" w:space="0" w:color="auto"/>
                                            <w:bottom w:val="none" w:sz="0" w:space="0" w:color="auto"/>
                                            <w:right w:val="none" w:sz="0" w:space="0" w:color="auto"/>
                                          </w:divBdr>
                                        </w:div>
                                      </w:divsChild>
                                    </w:div>
                                    <w:div w:id="509177421">
                                      <w:marLeft w:val="0"/>
                                      <w:marRight w:val="0"/>
                                      <w:marTop w:val="0"/>
                                      <w:marBottom w:val="0"/>
                                      <w:divBdr>
                                        <w:top w:val="none" w:sz="0" w:space="0" w:color="auto"/>
                                        <w:left w:val="none" w:sz="0" w:space="0" w:color="auto"/>
                                        <w:bottom w:val="none" w:sz="0" w:space="0" w:color="auto"/>
                                        <w:right w:val="none" w:sz="0" w:space="0" w:color="auto"/>
                                      </w:divBdr>
                                      <w:divsChild>
                                        <w:div w:id="885411964">
                                          <w:marLeft w:val="0"/>
                                          <w:marRight w:val="0"/>
                                          <w:marTop w:val="0"/>
                                          <w:marBottom w:val="0"/>
                                          <w:divBdr>
                                            <w:top w:val="none" w:sz="0" w:space="0" w:color="auto"/>
                                            <w:left w:val="none" w:sz="0" w:space="0" w:color="auto"/>
                                            <w:bottom w:val="none" w:sz="0" w:space="0" w:color="auto"/>
                                            <w:right w:val="none" w:sz="0" w:space="0" w:color="auto"/>
                                          </w:divBdr>
                                        </w:div>
                                        <w:div w:id="25911380">
                                          <w:marLeft w:val="0"/>
                                          <w:marRight w:val="0"/>
                                          <w:marTop w:val="0"/>
                                          <w:marBottom w:val="0"/>
                                          <w:divBdr>
                                            <w:top w:val="none" w:sz="0" w:space="0" w:color="auto"/>
                                            <w:left w:val="none" w:sz="0" w:space="0" w:color="auto"/>
                                            <w:bottom w:val="none" w:sz="0" w:space="0" w:color="auto"/>
                                            <w:right w:val="none" w:sz="0" w:space="0" w:color="auto"/>
                                          </w:divBdr>
                                          <w:divsChild>
                                            <w:div w:id="13742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7233">
                                      <w:marLeft w:val="0"/>
                                      <w:marRight w:val="0"/>
                                      <w:marTop w:val="0"/>
                                      <w:marBottom w:val="0"/>
                                      <w:divBdr>
                                        <w:top w:val="none" w:sz="0" w:space="0" w:color="auto"/>
                                        <w:left w:val="none" w:sz="0" w:space="0" w:color="auto"/>
                                        <w:bottom w:val="none" w:sz="0" w:space="0" w:color="auto"/>
                                        <w:right w:val="none" w:sz="0" w:space="0" w:color="auto"/>
                                      </w:divBdr>
                                      <w:divsChild>
                                        <w:div w:id="964887288">
                                          <w:marLeft w:val="0"/>
                                          <w:marRight w:val="0"/>
                                          <w:marTop w:val="0"/>
                                          <w:marBottom w:val="0"/>
                                          <w:divBdr>
                                            <w:top w:val="none" w:sz="0" w:space="0" w:color="auto"/>
                                            <w:left w:val="none" w:sz="0" w:space="0" w:color="auto"/>
                                            <w:bottom w:val="none" w:sz="0" w:space="0" w:color="auto"/>
                                            <w:right w:val="none" w:sz="0" w:space="0" w:color="auto"/>
                                          </w:divBdr>
                                        </w:div>
                                        <w:div w:id="1593080508">
                                          <w:marLeft w:val="0"/>
                                          <w:marRight w:val="0"/>
                                          <w:marTop w:val="0"/>
                                          <w:marBottom w:val="0"/>
                                          <w:divBdr>
                                            <w:top w:val="none" w:sz="0" w:space="0" w:color="auto"/>
                                            <w:left w:val="none" w:sz="0" w:space="0" w:color="auto"/>
                                            <w:bottom w:val="none" w:sz="0" w:space="0" w:color="auto"/>
                                            <w:right w:val="none" w:sz="0" w:space="0" w:color="auto"/>
                                          </w:divBdr>
                                          <w:divsChild>
                                            <w:div w:id="161186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17132">
                                      <w:marLeft w:val="0"/>
                                      <w:marRight w:val="0"/>
                                      <w:marTop w:val="0"/>
                                      <w:marBottom w:val="0"/>
                                      <w:divBdr>
                                        <w:top w:val="none" w:sz="0" w:space="0" w:color="auto"/>
                                        <w:left w:val="none" w:sz="0" w:space="0" w:color="auto"/>
                                        <w:bottom w:val="none" w:sz="0" w:space="0" w:color="auto"/>
                                        <w:right w:val="none" w:sz="0" w:space="0" w:color="auto"/>
                                      </w:divBdr>
                                      <w:divsChild>
                                        <w:div w:id="966938042">
                                          <w:marLeft w:val="0"/>
                                          <w:marRight w:val="0"/>
                                          <w:marTop w:val="0"/>
                                          <w:marBottom w:val="0"/>
                                          <w:divBdr>
                                            <w:top w:val="none" w:sz="0" w:space="0" w:color="auto"/>
                                            <w:left w:val="none" w:sz="0" w:space="0" w:color="auto"/>
                                            <w:bottom w:val="none" w:sz="0" w:space="0" w:color="auto"/>
                                            <w:right w:val="none" w:sz="0" w:space="0" w:color="auto"/>
                                          </w:divBdr>
                                        </w:div>
                                        <w:div w:id="442043161">
                                          <w:marLeft w:val="0"/>
                                          <w:marRight w:val="0"/>
                                          <w:marTop w:val="0"/>
                                          <w:marBottom w:val="0"/>
                                          <w:divBdr>
                                            <w:top w:val="none" w:sz="0" w:space="0" w:color="auto"/>
                                            <w:left w:val="none" w:sz="0" w:space="0" w:color="auto"/>
                                            <w:bottom w:val="none" w:sz="0" w:space="0" w:color="auto"/>
                                            <w:right w:val="none" w:sz="0" w:space="0" w:color="auto"/>
                                          </w:divBdr>
                                          <w:divsChild>
                                            <w:div w:id="6029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076877">
                                  <w:marLeft w:val="0"/>
                                  <w:marRight w:val="0"/>
                                  <w:marTop w:val="0"/>
                                  <w:marBottom w:val="0"/>
                                  <w:divBdr>
                                    <w:top w:val="none" w:sz="0" w:space="0" w:color="auto"/>
                                    <w:left w:val="none" w:sz="0" w:space="0" w:color="auto"/>
                                    <w:bottom w:val="none" w:sz="0" w:space="0" w:color="auto"/>
                                    <w:right w:val="none" w:sz="0" w:space="0" w:color="auto"/>
                                  </w:divBdr>
                                  <w:divsChild>
                                    <w:div w:id="493956050">
                                      <w:marLeft w:val="0"/>
                                      <w:marRight w:val="0"/>
                                      <w:marTop w:val="0"/>
                                      <w:marBottom w:val="0"/>
                                      <w:divBdr>
                                        <w:top w:val="none" w:sz="0" w:space="0" w:color="auto"/>
                                        <w:left w:val="none" w:sz="0" w:space="0" w:color="auto"/>
                                        <w:bottom w:val="none" w:sz="0" w:space="0" w:color="auto"/>
                                        <w:right w:val="none" w:sz="0" w:space="0" w:color="auto"/>
                                      </w:divBdr>
                                    </w:div>
                                    <w:div w:id="512183210">
                                      <w:marLeft w:val="0"/>
                                      <w:marRight w:val="0"/>
                                      <w:marTop w:val="0"/>
                                      <w:marBottom w:val="0"/>
                                      <w:divBdr>
                                        <w:top w:val="none" w:sz="0" w:space="0" w:color="auto"/>
                                        <w:left w:val="none" w:sz="0" w:space="0" w:color="auto"/>
                                        <w:bottom w:val="none" w:sz="0" w:space="0" w:color="auto"/>
                                        <w:right w:val="none" w:sz="0" w:space="0" w:color="auto"/>
                                      </w:divBdr>
                                    </w:div>
                                  </w:divsChild>
                                </w:div>
                                <w:div w:id="1402211359">
                                  <w:marLeft w:val="0"/>
                                  <w:marRight w:val="0"/>
                                  <w:marTop w:val="0"/>
                                  <w:marBottom w:val="0"/>
                                  <w:divBdr>
                                    <w:top w:val="none" w:sz="0" w:space="0" w:color="auto"/>
                                    <w:left w:val="none" w:sz="0" w:space="0" w:color="auto"/>
                                    <w:bottom w:val="none" w:sz="0" w:space="0" w:color="auto"/>
                                    <w:right w:val="none" w:sz="0" w:space="0" w:color="auto"/>
                                  </w:divBdr>
                                  <w:divsChild>
                                    <w:div w:id="417798695">
                                      <w:marLeft w:val="0"/>
                                      <w:marRight w:val="0"/>
                                      <w:marTop w:val="0"/>
                                      <w:marBottom w:val="0"/>
                                      <w:divBdr>
                                        <w:top w:val="none" w:sz="0" w:space="0" w:color="auto"/>
                                        <w:left w:val="none" w:sz="0" w:space="0" w:color="auto"/>
                                        <w:bottom w:val="none" w:sz="0" w:space="0" w:color="auto"/>
                                        <w:right w:val="none" w:sz="0" w:space="0" w:color="auto"/>
                                      </w:divBdr>
                                      <w:divsChild>
                                        <w:div w:id="530075299">
                                          <w:marLeft w:val="0"/>
                                          <w:marRight w:val="0"/>
                                          <w:marTop w:val="0"/>
                                          <w:marBottom w:val="0"/>
                                          <w:divBdr>
                                            <w:top w:val="none" w:sz="0" w:space="0" w:color="auto"/>
                                            <w:left w:val="none" w:sz="0" w:space="0" w:color="auto"/>
                                            <w:bottom w:val="none" w:sz="0" w:space="0" w:color="auto"/>
                                            <w:right w:val="none" w:sz="0" w:space="0" w:color="auto"/>
                                          </w:divBdr>
                                        </w:div>
                                        <w:div w:id="669524621">
                                          <w:marLeft w:val="0"/>
                                          <w:marRight w:val="0"/>
                                          <w:marTop w:val="0"/>
                                          <w:marBottom w:val="0"/>
                                          <w:divBdr>
                                            <w:top w:val="none" w:sz="0" w:space="0" w:color="auto"/>
                                            <w:left w:val="none" w:sz="0" w:space="0" w:color="auto"/>
                                            <w:bottom w:val="none" w:sz="0" w:space="0" w:color="auto"/>
                                            <w:right w:val="none" w:sz="0" w:space="0" w:color="auto"/>
                                          </w:divBdr>
                                          <w:divsChild>
                                            <w:div w:id="143281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741349">
                  <w:marLeft w:val="0"/>
                  <w:marRight w:val="0"/>
                  <w:marTop w:val="0"/>
                  <w:marBottom w:val="0"/>
                  <w:divBdr>
                    <w:top w:val="none" w:sz="0" w:space="0" w:color="auto"/>
                    <w:left w:val="none" w:sz="0" w:space="0" w:color="auto"/>
                    <w:bottom w:val="none" w:sz="0" w:space="0" w:color="auto"/>
                    <w:right w:val="none" w:sz="0" w:space="0" w:color="auto"/>
                  </w:divBdr>
                </w:div>
                <w:div w:id="17268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102865">
      <w:bodyDiv w:val="1"/>
      <w:marLeft w:val="0"/>
      <w:marRight w:val="0"/>
      <w:marTop w:val="0"/>
      <w:marBottom w:val="0"/>
      <w:divBdr>
        <w:top w:val="none" w:sz="0" w:space="0" w:color="auto"/>
        <w:left w:val="none" w:sz="0" w:space="0" w:color="auto"/>
        <w:bottom w:val="none" w:sz="0" w:space="0" w:color="auto"/>
        <w:right w:val="none" w:sz="0" w:space="0" w:color="auto"/>
      </w:divBdr>
    </w:div>
    <w:div w:id="1114441031">
      <w:bodyDiv w:val="1"/>
      <w:marLeft w:val="0"/>
      <w:marRight w:val="0"/>
      <w:marTop w:val="0"/>
      <w:marBottom w:val="0"/>
      <w:divBdr>
        <w:top w:val="none" w:sz="0" w:space="0" w:color="auto"/>
        <w:left w:val="none" w:sz="0" w:space="0" w:color="auto"/>
        <w:bottom w:val="none" w:sz="0" w:space="0" w:color="auto"/>
        <w:right w:val="none" w:sz="0" w:space="0" w:color="auto"/>
      </w:divBdr>
    </w:div>
    <w:div w:id="1376395762">
      <w:bodyDiv w:val="1"/>
      <w:marLeft w:val="0"/>
      <w:marRight w:val="0"/>
      <w:marTop w:val="0"/>
      <w:marBottom w:val="0"/>
      <w:divBdr>
        <w:top w:val="none" w:sz="0" w:space="0" w:color="auto"/>
        <w:left w:val="none" w:sz="0" w:space="0" w:color="auto"/>
        <w:bottom w:val="none" w:sz="0" w:space="0" w:color="auto"/>
        <w:right w:val="none" w:sz="0" w:space="0" w:color="auto"/>
      </w:divBdr>
    </w:div>
    <w:div w:id="1594512289">
      <w:bodyDiv w:val="1"/>
      <w:marLeft w:val="0"/>
      <w:marRight w:val="0"/>
      <w:marTop w:val="0"/>
      <w:marBottom w:val="0"/>
      <w:divBdr>
        <w:top w:val="none" w:sz="0" w:space="0" w:color="auto"/>
        <w:left w:val="none" w:sz="0" w:space="0" w:color="auto"/>
        <w:bottom w:val="none" w:sz="0" w:space="0" w:color="auto"/>
        <w:right w:val="none" w:sz="0" w:space="0" w:color="auto"/>
      </w:divBdr>
    </w:div>
    <w:div w:id="1614630170">
      <w:bodyDiv w:val="1"/>
      <w:marLeft w:val="0"/>
      <w:marRight w:val="0"/>
      <w:marTop w:val="0"/>
      <w:marBottom w:val="0"/>
      <w:divBdr>
        <w:top w:val="none" w:sz="0" w:space="0" w:color="auto"/>
        <w:left w:val="none" w:sz="0" w:space="0" w:color="auto"/>
        <w:bottom w:val="none" w:sz="0" w:space="0" w:color="auto"/>
        <w:right w:val="none" w:sz="0" w:space="0" w:color="auto"/>
      </w:divBdr>
    </w:div>
    <w:div w:id="19325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qualitymeasures.ahrq.gov/popups/printView.aspx?id=35542" TargetMode="External"/><Relationship Id="rId18" Type="http://schemas.openxmlformats.org/officeDocument/2006/relationships/hyperlink" Target="http://www.qualityforum.org/QPS/0374"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qualitymeasures.ahrq.gov/popups/printView.aspx?id=35546" TargetMode="External"/><Relationship Id="rId7" Type="http://schemas.microsoft.com/office/2007/relationships/stylesWithEffects" Target="stylesWithEffects.xml"/><Relationship Id="rId12" Type="http://schemas.openxmlformats.org/officeDocument/2006/relationships/hyperlink" Target="http://www.qualityforum.org/QPS/0371" TargetMode="External"/><Relationship Id="rId17" Type="http://schemas.openxmlformats.org/officeDocument/2006/relationships/hyperlink" Target="http://www.qualitymeasures.ahrq.gov/popups/printView.aspx?id=35544"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qualityforum.org/QPS/0373" TargetMode="External"/><Relationship Id="rId20" Type="http://schemas.openxmlformats.org/officeDocument/2006/relationships/hyperlink" Target="http://www.qualityforum.org/QPS/037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jointcommission.org/assets/1/6/NHQM_v4_3a_PDF_10_2_2013.zip" TargetMode="External"/><Relationship Id="rId5" Type="http://schemas.openxmlformats.org/officeDocument/2006/relationships/numbering" Target="numbering.xml"/><Relationship Id="rId15" Type="http://schemas.openxmlformats.org/officeDocument/2006/relationships/hyperlink" Target="http://www.qualitymeasures.ahrq.gov/popups/printView.aspx?id=35543" TargetMode="External"/><Relationship Id="rId23" Type="http://schemas.openxmlformats.org/officeDocument/2006/relationships/hyperlink" Target="http://www.qualitymeasures.ahrq.gov/popups/printView.aspx?id=35547"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qualitymeasures.ahrq.gov/popups/printView.aspx?id=3554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qualityforum.org/QPS/0372" TargetMode="External"/><Relationship Id="rId22" Type="http://schemas.openxmlformats.org/officeDocument/2006/relationships/hyperlink" Target="http://www.qualityforum.org/QPS/037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079C9F2DB0E6419EBB9BE3C6F3B017" ma:contentTypeVersion="0" ma:contentTypeDescription="Create a new document." ma:contentTypeScope="" ma:versionID="077bd394d213835c910b5b1865298e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933D7-93AC-4EA2-90BB-7666F6EC4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5D5E876-759E-4908-B5C2-5995D346A9D7}">
  <ds:schemaRefs>
    <ds:schemaRef ds:uri="http://schemas.microsoft.com/sharepoint/v3/contenttype/forms"/>
  </ds:schemaRefs>
</ds:datastoreItem>
</file>

<file path=customXml/itemProps3.xml><?xml version="1.0" encoding="utf-8"?>
<ds:datastoreItem xmlns:ds="http://schemas.openxmlformats.org/officeDocument/2006/customXml" ds:itemID="{91060128-5724-4312-BFD7-8A700CE185A3}">
  <ds:schemaRefs>
    <ds:schemaRef ds:uri="http://www.w3.org/XML/1998/namespace"/>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6BC7E503-8AB9-4E45-BB93-52D114033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2652</Words>
  <Characters>15122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17739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Woodard,Jennifer (HHSC)</dc:creator>
  <cp:lastModifiedBy>Windows User</cp:lastModifiedBy>
  <cp:revision>3</cp:revision>
  <dcterms:created xsi:type="dcterms:W3CDTF">2014-03-03T04:13:00Z</dcterms:created>
  <dcterms:modified xsi:type="dcterms:W3CDTF">2014-10-01T17:14:00Z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0x010100A5079C9F2DB0E6419EBB9BE3C6F3B017</vt:lpwstr>
  </property>
</Properties>
</file>