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6E18" w14:textId="77777777" w:rsidR="00AD706B" w:rsidRPr="0033265E" w:rsidRDefault="00AD706B" w:rsidP="00AD706B">
      <w:pPr>
        <w:pStyle w:val="Heading1"/>
      </w:pPr>
      <w:bookmarkStart w:id="0" w:name="_GoBack"/>
      <w:bookmarkEnd w:id="0"/>
      <w:r>
        <w:t>IT-</w:t>
      </w:r>
      <w:r w:rsidR="00C171D1">
        <w:t>4.11</w:t>
      </w:r>
      <w:r>
        <w:t xml:space="preserve">: </w:t>
      </w:r>
      <w:r w:rsidR="00C171D1">
        <w:t>Case-M</w:t>
      </w:r>
      <w:r w:rsidR="0033265E" w:rsidRPr="0033265E">
        <w:t>ix-Adjusted Inpatient Hospital Average Length of Stay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D706B" w14:paraId="1E1A6E1B" w14:textId="77777777">
        <w:trPr>
          <w:tblHeader/>
        </w:trPr>
        <w:tc>
          <w:tcPr>
            <w:tcW w:w="2538" w:type="dxa"/>
            <w:shd w:val="clear" w:color="auto" w:fill="F2F2F2" w:themeFill="background1" w:themeFillShade="F2"/>
          </w:tcPr>
          <w:p w14:paraId="1E1A6E19" w14:textId="77777777" w:rsidR="00AD706B" w:rsidRPr="00717546" w:rsidRDefault="00AD706B" w:rsidP="0033265E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1E1A6E1A" w14:textId="6ADFB48B" w:rsidR="00AD706B" w:rsidRPr="00BC57E4" w:rsidRDefault="00DF2B55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IT-4.11 </w:t>
            </w:r>
            <w:r w:rsidR="00BC57E4" w:rsidRPr="00BC57E4">
              <w:rPr>
                <w:b/>
              </w:rPr>
              <w:t>Risk-Adjusted Average Length of Inpatient Hospital Stay</w:t>
            </w:r>
          </w:p>
        </w:tc>
      </w:tr>
      <w:tr w:rsidR="00AD706B" w14:paraId="1E1A6E1E" w14:textId="77777777">
        <w:tc>
          <w:tcPr>
            <w:tcW w:w="2538" w:type="dxa"/>
          </w:tcPr>
          <w:p w14:paraId="1E1A6E1C" w14:textId="77777777" w:rsidR="00AD706B" w:rsidRPr="00717546" w:rsidRDefault="00AD706B" w:rsidP="0033265E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7038" w:type="dxa"/>
          </w:tcPr>
          <w:p w14:paraId="1E1A6E1D" w14:textId="77777777" w:rsidR="00AD706B" w:rsidRPr="007D6799" w:rsidRDefault="007D6799" w:rsidP="00B05CBF">
            <w:pPr>
              <w:pStyle w:val="NoSpacing"/>
            </w:pPr>
            <w:r w:rsidRPr="007D6799">
              <w:t>Percentage of inpatient &amp; outpatients with excessive in-hospital days</w:t>
            </w:r>
          </w:p>
        </w:tc>
      </w:tr>
      <w:tr w:rsidR="00AD706B" w14:paraId="1E1A6E21" w14:textId="77777777">
        <w:tc>
          <w:tcPr>
            <w:tcW w:w="2538" w:type="dxa"/>
          </w:tcPr>
          <w:p w14:paraId="1E1A6E1F" w14:textId="77777777" w:rsidR="00AD706B" w:rsidRPr="00717546" w:rsidRDefault="00AD706B" w:rsidP="0033265E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7038" w:type="dxa"/>
          </w:tcPr>
          <w:p w14:paraId="1E1A6E20" w14:textId="77777777" w:rsidR="00AD706B" w:rsidRDefault="00BC57E4" w:rsidP="00B05CBF">
            <w:pPr>
              <w:pStyle w:val="NoSpacing"/>
            </w:pPr>
            <w:r>
              <w:t>0327</w:t>
            </w:r>
          </w:p>
        </w:tc>
      </w:tr>
      <w:tr w:rsidR="00AD706B" w14:paraId="1E1A6E24" w14:textId="77777777">
        <w:tc>
          <w:tcPr>
            <w:tcW w:w="2538" w:type="dxa"/>
          </w:tcPr>
          <w:p w14:paraId="1E1A6E22" w14:textId="77777777" w:rsidR="00AD706B" w:rsidRPr="00717546" w:rsidRDefault="00AD706B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7038" w:type="dxa"/>
          </w:tcPr>
          <w:p w14:paraId="1E1A6E23" w14:textId="77777777" w:rsidR="00AD706B" w:rsidRPr="00631E85" w:rsidRDefault="00BC57E4" w:rsidP="0033265E">
            <w:pPr>
              <w:pStyle w:val="NoSpacing"/>
            </w:pPr>
            <w:r>
              <w:t>Premier, Inc.</w:t>
            </w:r>
          </w:p>
        </w:tc>
      </w:tr>
      <w:tr w:rsidR="00AD706B" w14:paraId="1E1A6E27" w14:textId="77777777">
        <w:tc>
          <w:tcPr>
            <w:tcW w:w="2538" w:type="dxa"/>
          </w:tcPr>
          <w:p w14:paraId="1E1A6E25" w14:textId="77777777" w:rsidR="00AD706B" w:rsidRDefault="00AD706B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7038" w:type="dxa"/>
          </w:tcPr>
          <w:p w14:paraId="1E1A6E26" w14:textId="5A61D9B4" w:rsidR="007F4AFB" w:rsidRPr="00BC57E4" w:rsidRDefault="00B1642D" w:rsidP="007F4AFB">
            <w:pPr>
              <w:pStyle w:val="NoSpacing"/>
            </w:pPr>
            <w:hyperlink r:id="rId12" w:history="1">
              <w:r w:rsidR="007F4AFB" w:rsidRPr="005B1D0A">
                <w:rPr>
                  <w:rStyle w:val="Hyperlink"/>
                </w:rPr>
                <w:t>https://www.qualityforum.org/QPS/0327</w:t>
              </w:r>
            </w:hyperlink>
          </w:p>
        </w:tc>
      </w:tr>
      <w:tr w:rsidR="00AD706B" w14:paraId="1E1A6E2A" w14:textId="77777777">
        <w:tc>
          <w:tcPr>
            <w:tcW w:w="2538" w:type="dxa"/>
          </w:tcPr>
          <w:p w14:paraId="1E1A6E28" w14:textId="77777777" w:rsidR="00AD706B" w:rsidRDefault="00AD706B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7038" w:type="dxa"/>
          </w:tcPr>
          <w:p w14:paraId="1E1A6E29" w14:textId="77777777" w:rsidR="00AD706B" w:rsidRDefault="00165D76" w:rsidP="007D6799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DF2B55" w14:paraId="1E1A6E2D" w14:textId="77777777">
        <w:tc>
          <w:tcPr>
            <w:tcW w:w="2538" w:type="dxa"/>
          </w:tcPr>
          <w:p w14:paraId="1E1A6E2B" w14:textId="41B309BB" w:rsidR="00DF2B55" w:rsidRDefault="00DF2B55" w:rsidP="0033265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7038" w:type="dxa"/>
          </w:tcPr>
          <w:p w14:paraId="7DC9F635" w14:textId="77777777" w:rsidR="00DF2B55" w:rsidRDefault="00DF2B55" w:rsidP="00B410EB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DF2B55" w:rsidRPr="008331B0" w14:paraId="2B63390B" w14:textId="77777777" w:rsidTr="00B410EB">
              <w:tc>
                <w:tcPr>
                  <w:tcW w:w="2209" w:type="dxa"/>
                </w:tcPr>
                <w:p w14:paraId="47F74FAE" w14:textId="77777777" w:rsidR="00DF2B55" w:rsidRPr="008331B0" w:rsidRDefault="00DF2B55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75B8ACC9" w14:textId="77777777" w:rsidR="00DF2B55" w:rsidRPr="008331B0" w:rsidRDefault="00DF2B55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48C98E69" w14:textId="77777777" w:rsidR="00DF2B55" w:rsidRPr="008331B0" w:rsidRDefault="00DF2B55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7769217E" w14:textId="77777777" w:rsidR="00DF2B55" w:rsidRPr="008331B0" w:rsidRDefault="00DF2B55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1736C654" w14:textId="77777777" w:rsidR="00DF2B55" w:rsidRPr="008331B0" w:rsidRDefault="00DF2B55" w:rsidP="00B410EB">
                  <w:pPr>
                    <w:pStyle w:val="NoSpacing"/>
                    <w:jc w:val="center"/>
                  </w:pPr>
                </w:p>
              </w:tc>
            </w:tr>
            <w:tr w:rsidR="00DF2B55" w:rsidRPr="008331B0" w14:paraId="005E2C8B" w14:textId="77777777" w:rsidTr="00B410EB">
              <w:tc>
                <w:tcPr>
                  <w:tcW w:w="2209" w:type="dxa"/>
                </w:tcPr>
                <w:p w14:paraId="18901B23" w14:textId="77777777" w:rsidR="00DF2B55" w:rsidRPr="008331B0" w:rsidRDefault="00DF2B55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6B6DD3C5" w14:textId="77777777" w:rsidR="00DF2B55" w:rsidRDefault="00DF2B55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6F622666" w14:textId="77777777" w:rsidR="00DF2B55" w:rsidRDefault="00DF2B55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2367FE3C" w14:textId="77777777" w:rsidR="00DF2B55" w:rsidRPr="008331B0" w:rsidRDefault="00DF2B55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6790FBEB" w14:textId="77777777" w:rsidR="00DF2B55" w:rsidRDefault="00DF2B55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401D4215" w14:textId="77777777" w:rsidR="00DF2B55" w:rsidRDefault="00DF2B55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3D7D060E" w14:textId="77777777" w:rsidR="00DF2B55" w:rsidRPr="008331B0" w:rsidRDefault="00DF2B55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1E1A6E2C" w14:textId="0C892A9F" w:rsidR="00DF2B55" w:rsidRDefault="00DF2B55" w:rsidP="00116208">
            <w:pPr>
              <w:pStyle w:val="NoSpacing"/>
            </w:pPr>
          </w:p>
        </w:tc>
      </w:tr>
      <w:tr w:rsidR="00AD706B" w14:paraId="1E1A6E30" w14:textId="77777777">
        <w:tc>
          <w:tcPr>
            <w:tcW w:w="2538" w:type="dxa"/>
          </w:tcPr>
          <w:p w14:paraId="1E1A6E2E" w14:textId="77777777" w:rsidR="00AD706B" w:rsidRPr="00717546" w:rsidRDefault="00AD706B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7038" w:type="dxa"/>
          </w:tcPr>
          <w:p w14:paraId="1E1A6E2F" w14:textId="77777777" w:rsidR="009F78A7" w:rsidRDefault="009B6A98" w:rsidP="009B6A98">
            <w:pPr>
              <w:pStyle w:val="NoSpacing"/>
            </w:pPr>
            <w:r>
              <w:t>None</w:t>
            </w:r>
          </w:p>
        </w:tc>
      </w:tr>
      <w:tr w:rsidR="00AD706B" w14:paraId="1E1A6E33" w14:textId="77777777">
        <w:tc>
          <w:tcPr>
            <w:tcW w:w="2538" w:type="dxa"/>
          </w:tcPr>
          <w:p w14:paraId="1E1A6E3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7038" w:type="dxa"/>
          </w:tcPr>
          <w:p w14:paraId="1E1A6E32" w14:textId="0534C785" w:rsidR="00AD706B" w:rsidRPr="00E962A7" w:rsidRDefault="00E962A7" w:rsidP="00DF2B55">
            <w:pPr>
              <w:pStyle w:val="NoSpacing"/>
            </w:pPr>
            <w:r w:rsidRPr="00E962A7">
              <w:t>Patients admitted to a hospital</w:t>
            </w:r>
          </w:p>
        </w:tc>
      </w:tr>
      <w:tr w:rsidR="00787D45" w14:paraId="1E1A6E36" w14:textId="77777777">
        <w:trPr>
          <w:trHeight w:val="728"/>
        </w:trPr>
        <w:tc>
          <w:tcPr>
            <w:tcW w:w="2538" w:type="dxa"/>
          </w:tcPr>
          <w:p w14:paraId="1E1A6E3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7038" w:type="dxa"/>
          </w:tcPr>
          <w:p w14:paraId="1E1A6E35" w14:textId="52081348" w:rsidR="00787D45" w:rsidRPr="0012650D" w:rsidRDefault="00DF2B55" w:rsidP="0033265E">
            <w:pPr>
              <w:pStyle w:val="NoSpacing"/>
              <w:rPr>
                <w:b/>
              </w:rPr>
            </w:pPr>
            <w:r w:rsidRPr="00E962A7">
              <w:t>Patient population can be aggregated as any grouping of patients (e.g., by hospital, physician, diagnosis code, procedure, DRG, etc.)</w:t>
            </w:r>
          </w:p>
        </w:tc>
      </w:tr>
      <w:tr w:rsidR="00787D45" w14:paraId="1E1A6E39" w14:textId="77777777">
        <w:trPr>
          <w:trHeight w:val="710"/>
        </w:trPr>
        <w:tc>
          <w:tcPr>
            <w:tcW w:w="2538" w:type="dxa"/>
          </w:tcPr>
          <w:p w14:paraId="1E1A6E3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7038" w:type="dxa"/>
          </w:tcPr>
          <w:p w14:paraId="1E1A6E38" w14:textId="77777777" w:rsidR="00787D45" w:rsidRPr="00D34894" w:rsidRDefault="00D34894" w:rsidP="0033265E">
            <w:pPr>
              <w:pStyle w:val="NoSpacing"/>
            </w:pPr>
            <w:r w:rsidRPr="00D34894">
              <w:t>The only exclusions are those limited by the parameters set for a specific population and are not limited by diagnosis</w:t>
            </w:r>
            <w:r>
              <w:t>.</w:t>
            </w:r>
          </w:p>
        </w:tc>
      </w:tr>
      <w:tr w:rsidR="00D63CD3" w14:paraId="1E1A6E3F" w14:textId="77777777">
        <w:tc>
          <w:tcPr>
            <w:tcW w:w="2538" w:type="dxa"/>
          </w:tcPr>
          <w:p w14:paraId="1E1A6E3A" w14:textId="77777777" w:rsidR="00D63CD3" w:rsidRDefault="00D63CD3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7038" w:type="dxa"/>
          </w:tcPr>
          <w:p w14:paraId="1E1A6E3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E1A6E3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E1A6E3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E1A6E3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1E1A6E42" w14:textId="77777777">
        <w:tc>
          <w:tcPr>
            <w:tcW w:w="2538" w:type="dxa"/>
          </w:tcPr>
          <w:p w14:paraId="1E1A6E40" w14:textId="77777777" w:rsidR="00AC3A97" w:rsidRPr="00717546" w:rsidRDefault="00AC3A97" w:rsidP="0033265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7038" w:type="dxa"/>
          </w:tcPr>
          <w:p w14:paraId="1E1A6E41" w14:textId="77777777" w:rsidR="00AC3A97" w:rsidRPr="00E962A7" w:rsidRDefault="00E962A7" w:rsidP="0033265E">
            <w:pPr>
              <w:pStyle w:val="NoSpacing"/>
            </w:pPr>
            <w:r w:rsidRPr="00E962A7">
              <w:t>Number of excess in-hospital days in a given inpatient population</w:t>
            </w:r>
          </w:p>
        </w:tc>
      </w:tr>
      <w:tr w:rsidR="00787D45" w14:paraId="1E1A6E45" w14:textId="77777777">
        <w:tc>
          <w:tcPr>
            <w:tcW w:w="2538" w:type="dxa"/>
          </w:tcPr>
          <w:p w14:paraId="1E1A6E43" w14:textId="77777777" w:rsidR="00787D45" w:rsidRPr="00717546" w:rsidRDefault="00787D45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7038" w:type="dxa"/>
          </w:tcPr>
          <w:p w14:paraId="1E1A6E44" w14:textId="77777777" w:rsidR="00787D45" w:rsidRPr="0012650D" w:rsidRDefault="00787D45" w:rsidP="00E962A7">
            <w:pPr>
              <w:pStyle w:val="NoSpacing"/>
              <w:rPr>
                <w:b/>
              </w:rPr>
            </w:pPr>
            <w:r>
              <w:t xml:space="preserve">The Measure Steward does not identify specific numerator inclusions </w:t>
            </w:r>
            <w:r>
              <w:lastRenderedPageBreak/>
              <w:t>beyond what is described in the numerator description.</w:t>
            </w:r>
          </w:p>
        </w:tc>
      </w:tr>
      <w:tr w:rsidR="00787D45" w14:paraId="1E1A6E48" w14:textId="77777777">
        <w:tc>
          <w:tcPr>
            <w:tcW w:w="2538" w:type="dxa"/>
          </w:tcPr>
          <w:p w14:paraId="1E1A6E46" w14:textId="77777777" w:rsidR="00787D45" w:rsidRPr="00717546" w:rsidRDefault="00787D45" w:rsidP="0033265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Exclusions</w:t>
            </w:r>
          </w:p>
        </w:tc>
        <w:tc>
          <w:tcPr>
            <w:tcW w:w="7038" w:type="dxa"/>
          </w:tcPr>
          <w:p w14:paraId="1E1A6E47" w14:textId="77777777" w:rsidR="00787D45" w:rsidRPr="001D6BEA" w:rsidRDefault="00D34894" w:rsidP="0033265E">
            <w:pPr>
              <w:pStyle w:val="NoSpacing"/>
            </w:pPr>
            <w:r>
              <w:t>The</w:t>
            </w:r>
            <w:r w:rsidR="00787D45">
              <w:t xml:space="preserve"> Measure Steward does not identify specific numerator exclusions beyond what is described in the numerator description.</w:t>
            </w:r>
          </w:p>
        </w:tc>
      </w:tr>
      <w:tr w:rsidR="00AD706B" w14:paraId="1E1A6E4B" w14:textId="77777777">
        <w:tc>
          <w:tcPr>
            <w:tcW w:w="2538" w:type="dxa"/>
          </w:tcPr>
          <w:p w14:paraId="1E1A6E49" w14:textId="77777777" w:rsidR="00AD706B" w:rsidRPr="00717546" w:rsidRDefault="00AD706B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038" w:type="dxa"/>
          </w:tcPr>
          <w:p w14:paraId="1E1A6E4A" w14:textId="77777777" w:rsidR="00AD706B" w:rsidRDefault="0095579C" w:rsidP="00CD7069">
            <w:pPr>
              <w:pStyle w:val="NoSpacing"/>
            </w:pPr>
            <w:r>
              <w:t>Inpatient</w:t>
            </w:r>
          </w:p>
        </w:tc>
      </w:tr>
      <w:tr w:rsidR="00AD706B" w14:paraId="1E1A6E4E" w14:textId="77777777">
        <w:tc>
          <w:tcPr>
            <w:tcW w:w="2538" w:type="dxa"/>
          </w:tcPr>
          <w:p w14:paraId="1E1A6E4C" w14:textId="77777777" w:rsidR="00AD706B" w:rsidRDefault="00AD706B" w:rsidP="0033265E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7038" w:type="dxa"/>
          </w:tcPr>
          <w:p w14:paraId="1E1A6E4D" w14:textId="77777777" w:rsidR="00AD706B" w:rsidRDefault="00AF3A3D" w:rsidP="00AF3A3D">
            <w:pPr>
              <w:pStyle w:val="NoSpacing"/>
            </w:pPr>
            <w:r>
              <w:t>Admin</w:t>
            </w:r>
            <w:r w:rsidR="0095579C">
              <w:t>istrative/Clinical data sources</w:t>
            </w:r>
          </w:p>
        </w:tc>
      </w:tr>
      <w:tr w:rsidR="00DF2B55" w14:paraId="1E1A6E6D" w14:textId="77777777">
        <w:tc>
          <w:tcPr>
            <w:tcW w:w="2538" w:type="dxa"/>
          </w:tcPr>
          <w:p w14:paraId="1E1A6E4F" w14:textId="1AD89D21" w:rsidR="00DF2B55" w:rsidRPr="00717546" w:rsidRDefault="00DF2B5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038" w:type="dxa"/>
          </w:tcPr>
          <w:p w14:paraId="07E349D0" w14:textId="77777777" w:rsidR="00DF2B55" w:rsidRDefault="00DF2B55" w:rsidP="00B410EB">
            <w:pPr>
              <w:pStyle w:val="NoSpacing"/>
            </w:pPr>
            <w:r>
              <w:t>All denominator subsets are permissible for this outcome</w:t>
            </w:r>
          </w:p>
          <w:p w14:paraId="1E1A6E6C" w14:textId="298746C2" w:rsidR="00DF2B55" w:rsidRDefault="00DF2B55" w:rsidP="007F7C07">
            <w:pPr>
              <w:pStyle w:val="NoSpacing"/>
            </w:pPr>
            <w:r>
              <w:t> </w:t>
            </w:r>
          </w:p>
        </w:tc>
      </w:tr>
    </w:tbl>
    <w:p w14:paraId="1E1A6EBC" w14:textId="77777777" w:rsidR="00356CF4" w:rsidRPr="008F249E" w:rsidRDefault="00356CF4" w:rsidP="007C7C85">
      <w:pPr>
        <w:pStyle w:val="Heading2"/>
      </w:pPr>
    </w:p>
    <w:sectPr w:rsidR="00356CF4" w:rsidRPr="008F249E" w:rsidSect="007B560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A6EC1" w14:textId="77777777" w:rsidR="00D34894" w:rsidRDefault="00D34894" w:rsidP="00F63191">
      <w:pPr>
        <w:spacing w:after="0" w:line="240" w:lineRule="auto"/>
      </w:pPr>
      <w:r>
        <w:separator/>
      </w:r>
    </w:p>
  </w:endnote>
  <w:endnote w:type="continuationSeparator" w:id="0">
    <w:p w14:paraId="1E1A6EC2" w14:textId="77777777" w:rsidR="00D34894" w:rsidRDefault="00D3489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3A8" w14:textId="17C67FAC" w:rsidR="00DF2B55" w:rsidRDefault="00DF2B55">
    <w:pPr>
      <w:pStyle w:val="Footer"/>
    </w:pPr>
    <w:r>
      <w:t>09/</w:t>
    </w:r>
    <w:r w:rsidR="00FC3F64">
      <w:t>25</w:t>
    </w:r>
    <w:r>
      <w:t>/14</w:t>
    </w:r>
  </w:p>
  <w:p w14:paraId="1E1A6EC5" w14:textId="77777777" w:rsidR="00D34894" w:rsidRDefault="00D34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6EBF" w14:textId="77777777" w:rsidR="00D34894" w:rsidRDefault="00D34894" w:rsidP="00F63191">
      <w:pPr>
        <w:spacing w:after="0" w:line="240" w:lineRule="auto"/>
      </w:pPr>
      <w:r>
        <w:separator/>
      </w:r>
    </w:p>
  </w:footnote>
  <w:footnote w:type="continuationSeparator" w:id="0">
    <w:p w14:paraId="1E1A6EC0" w14:textId="77777777" w:rsidR="00D34894" w:rsidRDefault="00D3489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6EC3" w14:textId="21F7D6CC" w:rsidR="00D34894" w:rsidRDefault="00D34894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54"/>
    <w:rsid w:val="00271E53"/>
    <w:rsid w:val="002845C2"/>
    <w:rsid w:val="002E14AF"/>
    <w:rsid w:val="002E56E7"/>
    <w:rsid w:val="0032246B"/>
    <w:rsid w:val="003268B7"/>
    <w:rsid w:val="0033265E"/>
    <w:rsid w:val="00346B8D"/>
    <w:rsid w:val="00356CF4"/>
    <w:rsid w:val="00366D0B"/>
    <w:rsid w:val="00375652"/>
    <w:rsid w:val="00383516"/>
    <w:rsid w:val="003844DB"/>
    <w:rsid w:val="003A409E"/>
    <w:rsid w:val="003C053A"/>
    <w:rsid w:val="003F4E8D"/>
    <w:rsid w:val="00416E44"/>
    <w:rsid w:val="00453AC5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71629B"/>
    <w:rsid w:val="007164C7"/>
    <w:rsid w:val="00743628"/>
    <w:rsid w:val="00760D27"/>
    <w:rsid w:val="00787D45"/>
    <w:rsid w:val="007B5604"/>
    <w:rsid w:val="007C728B"/>
    <w:rsid w:val="007C7C85"/>
    <w:rsid w:val="007D6799"/>
    <w:rsid w:val="007E0395"/>
    <w:rsid w:val="007E6D07"/>
    <w:rsid w:val="007F4AFB"/>
    <w:rsid w:val="007F675B"/>
    <w:rsid w:val="007F7C07"/>
    <w:rsid w:val="00800278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5579C"/>
    <w:rsid w:val="00965A2A"/>
    <w:rsid w:val="00967948"/>
    <w:rsid w:val="00994A41"/>
    <w:rsid w:val="00996DD5"/>
    <w:rsid w:val="009A7508"/>
    <w:rsid w:val="009B6A9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F11E2"/>
    <w:rsid w:val="00AF3A3D"/>
    <w:rsid w:val="00B05CBF"/>
    <w:rsid w:val="00B1642D"/>
    <w:rsid w:val="00B20462"/>
    <w:rsid w:val="00B546CF"/>
    <w:rsid w:val="00B65D92"/>
    <w:rsid w:val="00B7257A"/>
    <w:rsid w:val="00BA61F1"/>
    <w:rsid w:val="00BC4643"/>
    <w:rsid w:val="00BC57E4"/>
    <w:rsid w:val="00BE0FE9"/>
    <w:rsid w:val="00C01E6F"/>
    <w:rsid w:val="00C171D1"/>
    <w:rsid w:val="00C36D72"/>
    <w:rsid w:val="00C86C48"/>
    <w:rsid w:val="00C9758A"/>
    <w:rsid w:val="00CA2D3E"/>
    <w:rsid w:val="00CA4C08"/>
    <w:rsid w:val="00CC28BC"/>
    <w:rsid w:val="00CC53D3"/>
    <w:rsid w:val="00CD7069"/>
    <w:rsid w:val="00D1777E"/>
    <w:rsid w:val="00D34894"/>
    <w:rsid w:val="00D63CD3"/>
    <w:rsid w:val="00DB7651"/>
    <w:rsid w:val="00DE660A"/>
    <w:rsid w:val="00DF2B55"/>
    <w:rsid w:val="00E1692C"/>
    <w:rsid w:val="00E43145"/>
    <w:rsid w:val="00E962A7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C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6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032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268FD2-E583-47E2-963F-2BB749CD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2014-09-25T13:36:00Z</dcterms:created>
  <dcterms:modified xsi:type="dcterms:W3CDTF">2014-09-25T13:36:00Z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