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13187" w14:textId="43099CDD" w:rsidR="00AD706B" w:rsidRDefault="00AD706B" w:rsidP="00AD706B">
      <w:pPr>
        <w:pStyle w:val="Heading1"/>
      </w:pPr>
      <w:r>
        <w:t>IT-</w:t>
      </w:r>
      <w:r w:rsidR="00166607">
        <w:t>12.8</w:t>
      </w:r>
      <w:r>
        <w:t xml:space="preserve">:  </w:t>
      </w:r>
      <w:r w:rsidR="00A838D8">
        <w:t xml:space="preserve">Immunization for Adolescents – </w:t>
      </w:r>
      <w:proofErr w:type="spellStart"/>
      <w:r w:rsidR="00A838D8">
        <w:t>Tdap</w:t>
      </w:r>
      <w:proofErr w:type="spellEnd"/>
      <w:r w:rsidR="00A838D8">
        <w:t>/TD and MCV</w:t>
      </w:r>
    </w:p>
    <w:tbl>
      <w:tblPr>
        <w:tblStyle w:val="TableGrid"/>
        <w:tblW w:w="0" w:type="auto"/>
        <w:tblLook w:val="04A0" w:firstRow="1" w:lastRow="0" w:firstColumn="1" w:lastColumn="0" w:noHBand="0" w:noVBand="1"/>
      </w:tblPr>
      <w:tblGrid>
        <w:gridCol w:w="2584"/>
        <w:gridCol w:w="6992"/>
      </w:tblGrid>
      <w:tr w:rsidR="00AD706B" w14:paraId="6481318A" w14:textId="77777777" w:rsidTr="002772CB">
        <w:trPr>
          <w:tblHeader/>
        </w:trPr>
        <w:tc>
          <w:tcPr>
            <w:tcW w:w="2584" w:type="dxa"/>
            <w:shd w:val="clear" w:color="auto" w:fill="F2F2F2" w:themeFill="background1" w:themeFillShade="F2"/>
          </w:tcPr>
          <w:p w14:paraId="64813188" w14:textId="77777777" w:rsidR="00AD706B" w:rsidRPr="00717546" w:rsidRDefault="00AD706B" w:rsidP="00A374B8">
            <w:pPr>
              <w:pStyle w:val="NoSpacing"/>
              <w:rPr>
                <w:b/>
              </w:rPr>
            </w:pPr>
            <w:r w:rsidRPr="00717546">
              <w:rPr>
                <w:b/>
              </w:rPr>
              <w:t>Measure Title</w:t>
            </w:r>
          </w:p>
        </w:tc>
        <w:tc>
          <w:tcPr>
            <w:tcW w:w="6992" w:type="dxa"/>
            <w:shd w:val="clear" w:color="auto" w:fill="F2F2F2" w:themeFill="background1" w:themeFillShade="F2"/>
          </w:tcPr>
          <w:p w14:paraId="64813189" w14:textId="15A5D44A" w:rsidR="00AD706B" w:rsidRPr="008779F5" w:rsidRDefault="002772CB" w:rsidP="00A838D8">
            <w:pPr>
              <w:pStyle w:val="NoSpacing"/>
              <w:rPr>
                <w:b/>
              </w:rPr>
            </w:pPr>
            <w:r>
              <w:rPr>
                <w:b/>
              </w:rPr>
              <w:t xml:space="preserve">IT-12.8 </w:t>
            </w:r>
            <w:r w:rsidR="00A838D8">
              <w:rPr>
                <w:b/>
              </w:rPr>
              <w:t xml:space="preserve">Immunization for Adolescents – </w:t>
            </w:r>
            <w:proofErr w:type="spellStart"/>
            <w:r w:rsidR="00A838D8">
              <w:rPr>
                <w:b/>
              </w:rPr>
              <w:t>Tdap</w:t>
            </w:r>
            <w:proofErr w:type="spellEnd"/>
            <w:r w:rsidR="00A838D8">
              <w:rPr>
                <w:b/>
              </w:rPr>
              <w:t xml:space="preserve">/TD </w:t>
            </w:r>
            <w:r w:rsidR="00166607" w:rsidRPr="00166607">
              <w:rPr>
                <w:b/>
              </w:rPr>
              <w:t xml:space="preserve">and </w:t>
            </w:r>
            <w:r w:rsidR="00A838D8">
              <w:rPr>
                <w:b/>
              </w:rPr>
              <w:t>Meningococcal Vaccine (MCV)</w:t>
            </w:r>
          </w:p>
        </w:tc>
      </w:tr>
      <w:tr w:rsidR="00AD706B" w14:paraId="6481318D" w14:textId="77777777" w:rsidTr="002772CB">
        <w:tc>
          <w:tcPr>
            <w:tcW w:w="2584" w:type="dxa"/>
          </w:tcPr>
          <w:p w14:paraId="6481318B" w14:textId="77777777" w:rsidR="00AD706B" w:rsidRPr="00717546" w:rsidRDefault="00AD706B" w:rsidP="00A374B8">
            <w:pPr>
              <w:pStyle w:val="NoSpacing"/>
              <w:rPr>
                <w:b/>
              </w:rPr>
            </w:pPr>
            <w:r w:rsidRPr="00717546">
              <w:rPr>
                <w:b/>
              </w:rPr>
              <w:t>Description</w:t>
            </w:r>
          </w:p>
        </w:tc>
        <w:tc>
          <w:tcPr>
            <w:tcW w:w="6992" w:type="dxa"/>
          </w:tcPr>
          <w:p w14:paraId="6481318C" w14:textId="7A3DD396" w:rsidR="00AD706B" w:rsidRDefault="00A838D8" w:rsidP="00B05CBF">
            <w:pPr>
              <w:pStyle w:val="NoSpacing"/>
            </w:pPr>
            <w:r>
              <w:t>P</w:t>
            </w:r>
            <w:r w:rsidRPr="00A838D8">
              <w:t>ercentage of adolescents 13 years of age who had recommended immunizations by their 13th birthday</w:t>
            </w:r>
            <w:r>
              <w:t>.</w:t>
            </w:r>
          </w:p>
        </w:tc>
      </w:tr>
      <w:tr w:rsidR="00AD706B" w14:paraId="64813190" w14:textId="77777777" w:rsidTr="002772CB">
        <w:tc>
          <w:tcPr>
            <w:tcW w:w="2584" w:type="dxa"/>
          </w:tcPr>
          <w:p w14:paraId="6481318E" w14:textId="77777777" w:rsidR="00AD706B" w:rsidRPr="00717546" w:rsidRDefault="00AD706B" w:rsidP="00A374B8">
            <w:pPr>
              <w:pStyle w:val="NoSpacing"/>
              <w:rPr>
                <w:b/>
              </w:rPr>
            </w:pPr>
            <w:r w:rsidRPr="00717546">
              <w:rPr>
                <w:b/>
              </w:rPr>
              <w:t>NQF Number</w:t>
            </w:r>
          </w:p>
        </w:tc>
        <w:tc>
          <w:tcPr>
            <w:tcW w:w="6992" w:type="dxa"/>
          </w:tcPr>
          <w:p w14:paraId="6481318F" w14:textId="7A722217" w:rsidR="00166607" w:rsidRDefault="00166607" w:rsidP="00166607">
            <w:pPr>
              <w:pStyle w:val="NoSpacing"/>
            </w:pPr>
            <w:r>
              <w:t>1407</w:t>
            </w:r>
          </w:p>
        </w:tc>
      </w:tr>
      <w:tr w:rsidR="00AD706B" w14:paraId="64813193" w14:textId="77777777" w:rsidTr="00172351">
        <w:trPr>
          <w:trHeight w:val="278"/>
        </w:trPr>
        <w:tc>
          <w:tcPr>
            <w:tcW w:w="2584" w:type="dxa"/>
          </w:tcPr>
          <w:p w14:paraId="64813191" w14:textId="2D719BC8" w:rsidR="00AD706B" w:rsidRPr="00717546" w:rsidRDefault="00AD706B" w:rsidP="00A374B8">
            <w:pPr>
              <w:pStyle w:val="NoSpacing"/>
              <w:rPr>
                <w:b/>
              </w:rPr>
            </w:pPr>
            <w:r>
              <w:rPr>
                <w:b/>
              </w:rPr>
              <w:t>Measure Steward</w:t>
            </w:r>
          </w:p>
        </w:tc>
        <w:tc>
          <w:tcPr>
            <w:tcW w:w="6992" w:type="dxa"/>
          </w:tcPr>
          <w:p w14:paraId="64813192" w14:textId="780F3631" w:rsidR="00AD706B" w:rsidRPr="00631E85" w:rsidRDefault="00A838D8" w:rsidP="00A374B8">
            <w:pPr>
              <w:pStyle w:val="NoSpacing"/>
            </w:pPr>
            <w:r w:rsidRPr="00A838D8">
              <w:t>National Committee for Quality Assurance (NCQA)</w:t>
            </w:r>
          </w:p>
        </w:tc>
      </w:tr>
      <w:tr w:rsidR="00AD706B" w14:paraId="64813196" w14:textId="77777777" w:rsidTr="002772CB">
        <w:tc>
          <w:tcPr>
            <w:tcW w:w="2584" w:type="dxa"/>
          </w:tcPr>
          <w:p w14:paraId="64813194" w14:textId="77777777" w:rsidR="00AD706B" w:rsidRDefault="00AD706B" w:rsidP="00A374B8">
            <w:pPr>
              <w:pStyle w:val="NoSpacing"/>
              <w:rPr>
                <w:b/>
              </w:rPr>
            </w:pPr>
            <w:r>
              <w:rPr>
                <w:b/>
              </w:rPr>
              <w:t>Link to measure citation</w:t>
            </w:r>
          </w:p>
        </w:tc>
        <w:bookmarkStart w:id="0" w:name="OLE_LINK1"/>
        <w:tc>
          <w:tcPr>
            <w:tcW w:w="6992" w:type="dxa"/>
          </w:tcPr>
          <w:p w14:paraId="64813195" w14:textId="35D53B51" w:rsidR="00AD706B" w:rsidRPr="00631E85" w:rsidRDefault="00A838D8">
            <w:pPr>
              <w:pStyle w:val="NoSpacing"/>
            </w:pPr>
            <w:r>
              <w:fldChar w:fldCharType="begin"/>
            </w:r>
            <w:r>
              <w:instrText xml:space="preserve"> HYPERLINK "</w:instrText>
            </w:r>
            <w:r w:rsidRPr="00A838D8">
              <w:instrText>http://www.qualityforum.org/QPS/1407</w:instrText>
            </w:r>
            <w:r>
              <w:instrText xml:space="preserve">" </w:instrText>
            </w:r>
            <w:r>
              <w:fldChar w:fldCharType="separate"/>
            </w:r>
            <w:r w:rsidRPr="00D61E59">
              <w:rPr>
                <w:rStyle w:val="Hyperlink"/>
              </w:rPr>
              <w:t>http://www.qualityforum.org/QPS/1407</w:t>
            </w:r>
            <w:r>
              <w:fldChar w:fldCharType="end"/>
            </w:r>
            <w:r>
              <w:t xml:space="preserve"> </w:t>
            </w:r>
            <w:hyperlink r:id="rId12" w:history="1">
              <w:r w:rsidR="001A5461" w:rsidRPr="0098183D">
                <w:rPr>
                  <w:rStyle w:val="Hyperlink"/>
                </w:rPr>
                <w:t>http://www.qualitymeasures.ahrq.gov/content.aspx?id=47135</w:t>
              </w:r>
            </w:hyperlink>
            <w:r w:rsidR="001A5461">
              <w:t xml:space="preserve"> </w:t>
            </w:r>
            <w:bookmarkEnd w:id="0"/>
            <w:r w:rsidR="001A5461">
              <w:t xml:space="preserve"> </w:t>
            </w:r>
          </w:p>
        </w:tc>
      </w:tr>
      <w:tr w:rsidR="00AD706B" w14:paraId="64813199" w14:textId="77777777" w:rsidTr="002772CB">
        <w:tc>
          <w:tcPr>
            <w:tcW w:w="2584" w:type="dxa"/>
          </w:tcPr>
          <w:p w14:paraId="64813197" w14:textId="77777777" w:rsidR="00AD706B" w:rsidRDefault="00AD706B" w:rsidP="00A374B8">
            <w:pPr>
              <w:pStyle w:val="NoSpacing"/>
              <w:rPr>
                <w:b/>
              </w:rPr>
            </w:pPr>
            <w:r>
              <w:rPr>
                <w:b/>
              </w:rPr>
              <w:t>Measure type</w:t>
            </w:r>
          </w:p>
        </w:tc>
        <w:tc>
          <w:tcPr>
            <w:tcW w:w="6992" w:type="dxa"/>
          </w:tcPr>
          <w:p w14:paraId="64813198" w14:textId="6957C254" w:rsidR="00AD706B" w:rsidRDefault="00165D76" w:rsidP="00A838D8">
            <w:pPr>
              <w:pStyle w:val="NoSpacing"/>
            </w:pPr>
            <w:r>
              <w:t>Non Stand-A</w:t>
            </w:r>
            <w:r w:rsidR="00AD706B">
              <w:t>lone</w:t>
            </w:r>
            <w:r>
              <w:t xml:space="preserve"> (NSA)</w:t>
            </w:r>
          </w:p>
        </w:tc>
      </w:tr>
      <w:tr w:rsidR="002772CB" w14:paraId="6481319C" w14:textId="77777777" w:rsidTr="002772CB">
        <w:tc>
          <w:tcPr>
            <w:tcW w:w="2584" w:type="dxa"/>
          </w:tcPr>
          <w:p w14:paraId="6481319A" w14:textId="505152DD" w:rsidR="002772CB" w:rsidRDefault="002772CB" w:rsidP="00A374B8">
            <w:pPr>
              <w:pStyle w:val="NoSpacing"/>
              <w:rPr>
                <w:b/>
              </w:rPr>
            </w:pPr>
            <w:r>
              <w:rPr>
                <w:b/>
              </w:rPr>
              <w:t>Performance and Achievement Type</w:t>
            </w:r>
          </w:p>
        </w:tc>
        <w:tc>
          <w:tcPr>
            <w:tcW w:w="6992" w:type="dxa"/>
          </w:tcPr>
          <w:p w14:paraId="43A8AEC8" w14:textId="77777777" w:rsidR="002772CB" w:rsidRDefault="002772CB" w:rsidP="005F3878">
            <w:pPr>
              <w:pStyle w:val="NoSpacing"/>
            </w:pPr>
            <w:r>
              <w:t>Pay for Performance (P4P) - QSMIC</w:t>
            </w:r>
          </w:p>
          <w:tbl>
            <w:tblPr>
              <w:tblStyle w:val="TableGrid"/>
              <w:tblW w:w="0" w:type="auto"/>
              <w:tblLook w:val="04A0" w:firstRow="1" w:lastRow="0" w:firstColumn="1" w:lastColumn="0" w:noHBand="0" w:noVBand="1"/>
            </w:tblPr>
            <w:tblGrid>
              <w:gridCol w:w="1880"/>
              <w:gridCol w:w="1060"/>
              <w:gridCol w:w="1846"/>
              <w:gridCol w:w="1846"/>
            </w:tblGrid>
            <w:tr w:rsidR="002772CB" w14:paraId="57D76043" w14:textId="77777777" w:rsidTr="005F3878">
              <w:tc>
                <w:tcPr>
                  <w:tcW w:w="1880" w:type="dxa"/>
                </w:tcPr>
                <w:p w14:paraId="39461203" w14:textId="77777777" w:rsidR="002772CB" w:rsidRPr="00791AAE" w:rsidRDefault="002772CB" w:rsidP="005F3878">
                  <w:pPr>
                    <w:pStyle w:val="NoSpacing"/>
                    <w:jc w:val="center"/>
                  </w:pPr>
                </w:p>
              </w:tc>
              <w:tc>
                <w:tcPr>
                  <w:tcW w:w="1060" w:type="dxa"/>
                </w:tcPr>
                <w:p w14:paraId="502DD162" w14:textId="77777777" w:rsidR="002772CB" w:rsidRPr="00791AAE" w:rsidRDefault="002772CB" w:rsidP="005F3878">
                  <w:pPr>
                    <w:pStyle w:val="NoSpacing"/>
                    <w:jc w:val="center"/>
                  </w:pPr>
                  <w:r>
                    <w:t>Baseline</w:t>
                  </w:r>
                </w:p>
              </w:tc>
              <w:tc>
                <w:tcPr>
                  <w:tcW w:w="1846" w:type="dxa"/>
                </w:tcPr>
                <w:p w14:paraId="08C683B5" w14:textId="77777777" w:rsidR="002772CB" w:rsidRPr="00791AAE" w:rsidRDefault="002772CB" w:rsidP="005F3878">
                  <w:pPr>
                    <w:pStyle w:val="NoSpacing"/>
                    <w:jc w:val="center"/>
                  </w:pPr>
                  <w:r w:rsidRPr="00791AAE">
                    <w:t>DY4</w:t>
                  </w:r>
                </w:p>
                <w:p w14:paraId="42B767D5" w14:textId="77777777" w:rsidR="002772CB" w:rsidRPr="00791AAE" w:rsidRDefault="002772CB" w:rsidP="005F3878">
                  <w:pPr>
                    <w:pStyle w:val="NoSpacing"/>
                    <w:jc w:val="center"/>
                  </w:pPr>
                </w:p>
              </w:tc>
              <w:tc>
                <w:tcPr>
                  <w:tcW w:w="1846" w:type="dxa"/>
                </w:tcPr>
                <w:p w14:paraId="11172F3F" w14:textId="77777777" w:rsidR="002772CB" w:rsidRPr="00791AAE" w:rsidRDefault="002772CB" w:rsidP="005F3878">
                  <w:pPr>
                    <w:pStyle w:val="NoSpacing"/>
                    <w:jc w:val="center"/>
                  </w:pPr>
                  <w:r w:rsidRPr="00791AAE">
                    <w:t>DY5</w:t>
                  </w:r>
                </w:p>
                <w:p w14:paraId="417C47B2" w14:textId="77777777" w:rsidR="002772CB" w:rsidRPr="00791AAE" w:rsidRDefault="002772CB" w:rsidP="005F3878">
                  <w:pPr>
                    <w:pStyle w:val="NoSpacing"/>
                    <w:jc w:val="center"/>
                  </w:pPr>
                </w:p>
              </w:tc>
            </w:tr>
            <w:tr w:rsidR="002772CB" w14:paraId="7B561629" w14:textId="77777777" w:rsidTr="005F3878">
              <w:tc>
                <w:tcPr>
                  <w:tcW w:w="1880" w:type="dxa"/>
                  <w:vMerge w:val="restart"/>
                </w:tcPr>
                <w:p w14:paraId="7C94DA0E" w14:textId="77777777" w:rsidR="002772CB" w:rsidRPr="00791AAE" w:rsidRDefault="002772CB" w:rsidP="005F3878">
                  <w:pPr>
                    <w:pStyle w:val="NoSpacing"/>
                    <w:jc w:val="center"/>
                  </w:pPr>
                  <w:r>
                    <w:t>Achievement Level Calculations</w:t>
                  </w:r>
                </w:p>
                <w:p w14:paraId="757E449E" w14:textId="77777777" w:rsidR="002772CB" w:rsidRPr="00791AAE" w:rsidRDefault="002772CB" w:rsidP="005F3878">
                  <w:pPr>
                    <w:pStyle w:val="NoSpacing"/>
                    <w:jc w:val="center"/>
                  </w:pPr>
                </w:p>
              </w:tc>
              <w:tc>
                <w:tcPr>
                  <w:tcW w:w="1060" w:type="dxa"/>
                </w:tcPr>
                <w:p w14:paraId="081B5312" w14:textId="77777777" w:rsidR="002772CB" w:rsidRDefault="002772CB" w:rsidP="005F3878">
                  <w:pPr>
                    <w:pStyle w:val="NoSpacing"/>
                    <w:jc w:val="center"/>
                  </w:pPr>
                  <w:r>
                    <w:t>Baseline below MPL</w:t>
                  </w:r>
                </w:p>
              </w:tc>
              <w:tc>
                <w:tcPr>
                  <w:tcW w:w="1846" w:type="dxa"/>
                </w:tcPr>
                <w:p w14:paraId="1B4E7BC9" w14:textId="77777777" w:rsidR="002772CB" w:rsidRPr="00791AAE" w:rsidRDefault="002772CB" w:rsidP="005F3878">
                  <w:pPr>
                    <w:pStyle w:val="NoSpacing"/>
                    <w:jc w:val="center"/>
                  </w:pPr>
                  <w:r w:rsidRPr="00F2515D">
                    <w:t>MPL</w:t>
                  </w:r>
                </w:p>
              </w:tc>
              <w:tc>
                <w:tcPr>
                  <w:tcW w:w="1846" w:type="dxa"/>
                </w:tcPr>
                <w:p w14:paraId="2CEF81DF" w14:textId="77777777" w:rsidR="002772CB" w:rsidRPr="00791AAE" w:rsidRDefault="002772CB" w:rsidP="005F3878">
                  <w:pPr>
                    <w:pStyle w:val="NoSpacing"/>
                    <w:jc w:val="center"/>
                  </w:pPr>
                  <w:r w:rsidRPr="00F2515D">
                    <w:t>MPL + 10%* (HPL-MPL)</w:t>
                  </w:r>
                </w:p>
              </w:tc>
            </w:tr>
            <w:tr w:rsidR="002772CB" w14:paraId="0AD09E6C" w14:textId="77777777" w:rsidTr="005F3878">
              <w:tc>
                <w:tcPr>
                  <w:tcW w:w="1880" w:type="dxa"/>
                  <w:vMerge/>
                </w:tcPr>
                <w:p w14:paraId="309D0E0B" w14:textId="77777777" w:rsidR="002772CB" w:rsidRPr="00791AAE" w:rsidRDefault="002772CB" w:rsidP="005F3878">
                  <w:pPr>
                    <w:pStyle w:val="NoSpacing"/>
                    <w:jc w:val="center"/>
                  </w:pPr>
                </w:p>
              </w:tc>
              <w:tc>
                <w:tcPr>
                  <w:tcW w:w="1060" w:type="dxa"/>
                </w:tcPr>
                <w:p w14:paraId="14308C19" w14:textId="77777777" w:rsidR="002772CB" w:rsidRDefault="002772CB" w:rsidP="005F3878">
                  <w:pPr>
                    <w:pStyle w:val="NoSpacing"/>
                    <w:jc w:val="center"/>
                  </w:pPr>
                  <w:r>
                    <w:t>Baseline above MPL</w:t>
                  </w:r>
                </w:p>
              </w:tc>
              <w:tc>
                <w:tcPr>
                  <w:tcW w:w="1846" w:type="dxa"/>
                </w:tcPr>
                <w:p w14:paraId="257B553A" w14:textId="77777777" w:rsidR="002772CB" w:rsidRPr="00791AAE" w:rsidRDefault="002772CB" w:rsidP="005F3878">
                  <w:pPr>
                    <w:pStyle w:val="NoSpacing"/>
                    <w:jc w:val="center"/>
                  </w:pPr>
                  <w:r>
                    <w:t>B</w:t>
                  </w:r>
                  <w:r w:rsidRPr="00F2515D">
                    <w:t xml:space="preserve">aseline + 10%*(HPL - </w:t>
                  </w:r>
                  <w:r>
                    <w:t>B</w:t>
                  </w:r>
                  <w:r w:rsidRPr="00F2515D">
                    <w:t>aseline)</w:t>
                  </w:r>
                </w:p>
              </w:tc>
              <w:tc>
                <w:tcPr>
                  <w:tcW w:w="1846" w:type="dxa"/>
                </w:tcPr>
                <w:p w14:paraId="07816A1D" w14:textId="77777777" w:rsidR="002772CB" w:rsidRPr="00791AAE" w:rsidRDefault="002772CB" w:rsidP="005F3878">
                  <w:pPr>
                    <w:pStyle w:val="NoSpacing"/>
                    <w:jc w:val="center"/>
                  </w:pPr>
                  <w:r>
                    <w:t>B</w:t>
                  </w:r>
                  <w:r w:rsidRPr="00155143">
                    <w:t xml:space="preserve">aseline + 20%*(HPL - </w:t>
                  </w:r>
                  <w:r>
                    <w:t>B</w:t>
                  </w:r>
                  <w:r w:rsidRPr="00155143">
                    <w:t>aseline)</w:t>
                  </w:r>
                </w:p>
              </w:tc>
            </w:tr>
          </w:tbl>
          <w:p w14:paraId="6481319B" w14:textId="5AE4CA37" w:rsidR="002772CB" w:rsidRDefault="002772CB" w:rsidP="00A838D8">
            <w:pPr>
              <w:pStyle w:val="NoSpacing"/>
            </w:pPr>
          </w:p>
        </w:tc>
      </w:tr>
      <w:tr w:rsidR="002772CB" w14:paraId="136791D3" w14:textId="77777777" w:rsidTr="002772CB">
        <w:tc>
          <w:tcPr>
            <w:tcW w:w="2584" w:type="dxa"/>
          </w:tcPr>
          <w:p w14:paraId="211EE852" w14:textId="005A5E72" w:rsidR="002772CB" w:rsidRDefault="002772CB" w:rsidP="00A374B8">
            <w:pPr>
              <w:pStyle w:val="NoSpacing"/>
              <w:rPr>
                <w:b/>
              </w:rPr>
            </w:pPr>
            <w:r>
              <w:rPr>
                <w:b/>
              </w:rPr>
              <w:t>Benchmark Description</w:t>
            </w:r>
          </w:p>
        </w:tc>
        <w:tc>
          <w:tcPr>
            <w:tcW w:w="6992" w:type="dxa"/>
          </w:tcPr>
          <w:tbl>
            <w:tblPr>
              <w:tblStyle w:val="TableGrid"/>
              <w:tblW w:w="6637" w:type="dxa"/>
              <w:tblLook w:val="04A0" w:firstRow="1" w:lastRow="0" w:firstColumn="1" w:lastColumn="0" w:noHBand="0" w:noVBand="1"/>
            </w:tblPr>
            <w:tblGrid>
              <w:gridCol w:w="3397"/>
              <w:gridCol w:w="3230"/>
              <w:gridCol w:w="10"/>
            </w:tblGrid>
            <w:tr w:rsidR="002772CB" w14:paraId="7DF3F610" w14:textId="77777777" w:rsidTr="005F3878">
              <w:trPr>
                <w:gridAfter w:val="1"/>
                <w:wAfter w:w="10" w:type="dxa"/>
              </w:trPr>
              <w:tc>
                <w:tcPr>
                  <w:tcW w:w="6627" w:type="dxa"/>
                  <w:gridSpan w:val="2"/>
                </w:tcPr>
                <w:p w14:paraId="25E5DA49" w14:textId="750E8716" w:rsidR="002772CB" w:rsidRPr="00791AAE" w:rsidRDefault="002772CB" w:rsidP="00527822">
                  <w:pPr>
                    <w:pStyle w:val="NoSpacing"/>
                    <w:jc w:val="center"/>
                  </w:pPr>
                  <w:r w:rsidRPr="00E3780B">
                    <w:t>NCQA</w:t>
                  </w:r>
                  <w:r w:rsidR="00527822">
                    <w:t xml:space="preserve"> </w:t>
                  </w:r>
                  <w:r w:rsidRPr="00E3780B">
                    <w:t>Accreditation Benchmarks and Thresholds</w:t>
                  </w:r>
                </w:p>
              </w:tc>
            </w:tr>
            <w:tr w:rsidR="002772CB" w14:paraId="4503D5BE" w14:textId="77777777" w:rsidTr="005F3878">
              <w:tc>
                <w:tcPr>
                  <w:tcW w:w="3397" w:type="dxa"/>
                </w:tcPr>
                <w:p w14:paraId="1333C059" w14:textId="77777777" w:rsidR="002772CB" w:rsidRPr="00791AAE" w:rsidRDefault="002772CB" w:rsidP="005F3878">
                  <w:pPr>
                    <w:pStyle w:val="NoSpacing"/>
                    <w:jc w:val="center"/>
                  </w:pPr>
                  <w:r w:rsidRPr="00791AAE">
                    <w:t>HPL (90</w:t>
                  </w:r>
                  <w:r w:rsidRPr="00537ED7">
                    <w:rPr>
                      <w:vertAlign w:val="superscript"/>
                    </w:rPr>
                    <w:t>th</w:t>
                  </w:r>
                  <w:r w:rsidRPr="00791AAE">
                    <w:t xml:space="preserve"> Percentile)</w:t>
                  </w:r>
                </w:p>
              </w:tc>
              <w:tc>
                <w:tcPr>
                  <w:tcW w:w="3240" w:type="dxa"/>
                  <w:gridSpan w:val="2"/>
                </w:tcPr>
                <w:p w14:paraId="58B2235F" w14:textId="3105E371" w:rsidR="002772CB" w:rsidRPr="00791AAE" w:rsidRDefault="002772CB" w:rsidP="005F3878">
                  <w:pPr>
                    <w:pStyle w:val="NoSpacing"/>
                    <w:jc w:val="center"/>
                  </w:pPr>
                  <w:r>
                    <w:t>80.91%</w:t>
                  </w:r>
                </w:p>
              </w:tc>
            </w:tr>
            <w:tr w:rsidR="002772CB" w14:paraId="2EAC6481" w14:textId="77777777" w:rsidTr="005F3878">
              <w:tc>
                <w:tcPr>
                  <w:tcW w:w="3397" w:type="dxa"/>
                </w:tcPr>
                <w:p w14:paraId="3F2BB8E2" w14:textId="77777777" w:rsidR="002772CB" w:rsidRPr="00791AAE" w:rsidRDefault="002772CB" w:rsidP="005F3878">
                  <w:pPr>
                    <w:pStyle w:val="NoSpacing"/>
                    <w:jc w:val="center"/>
                  </w:pPr>
                  <w:r>
                    <w:t>MPL (25</w:t>
                  </w:r>
                  <w:r w:rsidRPr="00791AAE">
                    <w:rPr>
                      <w:vertAlign w:val="superscript"/>
                    </w:rPr>
                    <w:t>th</w:t>
                  </w:r>
                  <w:r w:rsidRPr="00791AAE">
                    <w:t xml:space="preserve"> Percentile)</w:t>
                  </w:r>
                  <w:r>
                    <w:t xml:space="preserve"> or 10</w:t>
                  </w:r>
                  <w:r w:rsidRPr="001967CC">
                    <w:rPr>
                      <w:vertAlign w:val="superscript"/>
                    </w:rPr>
                    <w:t>th</w:t>
                  </w:r>
                  <w:r>
                    <w:t xml:space="preserve"> if applicable</w:t>
                  </w:r>
                </w:p>
              </w:tc>
              <w:tc>
                <w:tcPr>
                  <w:tcW w:w="3240" w:type="dxa"/>
                  <w:gridSpan w:val="2"/>
                </w:tcPr>
                <w:p w14:paraId="123FA512" w14:textId="2E665C96" w:rsidR="002772CB" w:rsidRPr="00791AAE" w:rsidRDefault="002772CB" w:rsidP="005F3878">
                  <w:pPr>
                    <w:pStyle w:val="NoSpacing"/>
                    <w:jc w:val="center"/>
                  </w:pPr>
                  <w:r>
                    <w:t>49.77%</w:t>
                  </w:r>
                </w:p>
              </w:tc>
            </w:tr>
          </w:tbl>
          <w:p w14:paraId="39C3462A" w14:textId="77777777" w:rsidR="002772CB" w:rsidRDefault="002772CB" w:rsidP="00A838D8">
            <w:pPr>
              <w:pStyle w:val="NoSpacing"/>
            </w:pPr>
          </w:p>
        </w:tc>
      </w:tr>
      <w:tr w:rsidR="00AD706B" w14:paraId="648131A5" w14:textId="77777777" w:rsidTr="002772CB">
        <w:tc>
          <w:tcPr>
            <w:tcW w:w="2584" w:type="dxa"/>
          </w:tcPr>
          <w:p w14:paraId="6481319D" w14:textId="77777777" w:rsidR="00AD706B" w:rsidRPr="00717546" w:rsidRDefault="00AD706B" w:rsidP="00A374B8">
            <w:pPr>
              <w:pStyle w:val="NoSpacing"/>
              <w:rPr>
                <w:b/>
              </w:rPr>
            </w:pPr>
            <w:r>
              <w:rPr>
                <w:b/>
              </w:rPr>
              <w:t>DSRIP-specific modifications to Measure Steward’s specification</w:t>
            </w:r>
          </w:p>
        </w:tc>
        <w:tc>
          <w:tcPr>
            <w:tcW w:w="6992" w:type="dxa"/>
          </w:tcPr>
          <w:p w14:paraId="648131A0" w14:textId="4711C706" w:rsidR="009F78A7" w:rsidRPr="00AD5C47" w:rsidRDefault="009F78A7" w:rsidP="009F78A7">
            <w:pPr>
              <w:pStyle w:val="NoSpacing"/>
            </w:pPr>
            <w:r w:rsidRPr="00AD5C47">
              <w:t>The Measure Steward’s specification has been modified as follows:</w:t>
            </w:r>
          </w:p>
          <w:p w14:paraId="648131A4" w14:textId="1FDCBF33" w:rsidR="009F78A7" w:rsidRPr="00AD5C47" w:rsidRDefault="009F78A7" w:rsidP="00AD5C47">
            <w:pPr>
              <w:pStyle w:val="NoSpacing"/>
              <w:numPr>
                <w:ilvl w:val="0"/>
                <w:numId w:val="9"/>
              </w:numPr>
            </w:pPr>
            <w:r w:rsidRPr="00AD5C47">
              <w:t xml:space="preserve">Replaced term "member" with "patient" </w:t>
            </w:r>
          </w:p>
        </w:tc>
      </w:tr>
      <w:tr w:rsidR="00AD706B" w14:paraId="648131A8" w14:textId="77777777" w:rsidTr="002772CB">
        <w:tc>
          <w:tcPr>
            <w:tcW w:w="2584" w:type="dxa"/>
          </w:tcPr>
          <w:p w14:paraId="648131A6"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992" w:type="dxa"/>
          </w:tcPr>
          <w:p w14:paraId="648131A7" w14:textId="79267ADC" w:rsidR="00AD706B" w:rsidRPr="009F7E66" w:rsidRDefault="00A838D8" w:rsidP="001D6BEA">
            <w:pPr>
              <w:pStyle w:val="NoSpacing"/>
            </w:pPr>
            <w:r w:rsidRPr="00A838D8">
              <w:t>Adolescents who turn 13 years of age during the measurement year</w:t>
            </w:r>
          </w:p>
        </w:tc>
      </w:tr>
      <w:tr w:rsidR="00787D45" w14:paraId="648131AB" w14:textId="77777777" w:rsidTr="002772CB">
        <w:trPr>
          <w:trHeight w:val="728"/>
        </w:trPr>
        <w:tc>
          <w:tcPr>
            <w:tcW w:w="2584" w:type="dxa"/>
          </w:tcPr>
          <w:p w14:paraId="648131A9" w14:textId="77777777" w:rsidR="00787D45" w:rsidRPr="00717546" w:rsidRDefault="00787D45" w:rsidP="00C01E6F">
            <w:pPr>
              <w:pStyle w:val="NoSpacing"/>
              <w:rPr>
                <w:b/>
              </w:rPr>
            </w:pPr>
            <w:r>
              <w:rPr>
                <w:b/>
              </w:rPr>
              <w:t>Denominator Inclusions</w:t>
            </w:r>
          </w:p>
        </w:tc>
        <w:tc>
          <w:tcPr>
            <w:tcW w:w="6992" w:type="dxa"/>
          </w:tcPr>
          <w:p w14:paraId="648131AA" w14:textId="055BD03D" w:rsidR="00787D45" w:rsidRPr="0012650D" w:rsidRDefault="00787D45" w:rsidP="00672B30">
            <w:pPr>
              <w:pStyle w:val="NoSpacing"/>
              <w:rPr>
                <w:b/>
              </w:rPr>
            </w:pPr>
            <w:r>
              <w:t>The Measure Steward does not identify specific denominator inclusions beyond what is described i</w:t>
            </w:r>
            <w:r w:rsidR="00672B30">
              <w:t>n the denominator description.</w:t>
            </w:r>
          </w:p>
        </w:tc>
      </w:tr>
      <w:tr w:rsidR="00787D45" w14:paraId="648131AE" w14:textId="77777777" w:rsidTr="002772CB">
        <w:trPr>
          <w:trHeight w:val="710"/>
        </w:trPr>
        <w:tc>
          <w:tcPr>
            <w:tcW w:w="2584" w:type="dxa"/>
          </w:tcPr>
          <w:p w14:paraId="648131AC" w14:textId="77777777" w:rsidR="00787D45" w:rsidRPr="00717546" w:rsidRDefault="00787D45" w:rsidP="00C01E6F">
            <w:pPr>
              <w:pStyle w:val="NoSpacing"/>
              <w:rPr>
                <w:b/>
              </w:rPr>
            </w:pPr>
            <w:r>
              <w:rPr>
                <w:b/>
              </w:rPr>
              <w:t>Denominator Exclusions</w:t>
            </w:r>
          </w:p>
        </w:tc>
        <w:tc>
          <w:tcPr>
            <w:tcW w:w="6992" w:type="dxa"/>
          </w:tcPr>
          <w:p w14:paraId="648131AD" w14:textId="12574432" w:rsidR="00672B30" w:rsidRPr="001D6BEA" w:rsidRDefault="00672B30" w:rsidP="00672B30">
            <w:pPr>
              <w:pStyle w:val="NoSpacing"/>
            </w:pPr>
            <w:r w:rsidRPr="00672B30">
              <w:t xml:space="preserve">Exclude adolescents who had a contraindication for a specific vaccine from the denominator for the combination rate. Contraindicated adolescents may be excluded only if administrative data do not indicate that the contraindicated immunization was rendered. The exclusion must have occurred by the </w:t>
            </w:r>
            <w:r>
              <w:t>patient’s</w:t>
            </w:r>
            <w:r w:rsidRPr="00672B30">
              <w:t xml:space="preserve"> 13th birthday. Look for exclusions as far back as possible in the </w:t>
            </w:r>
            <w:r>
              <w:t>patient’s</w:t>
            </w:r>
            <w:r w:rsidRPr="00672B30">
              <w:t xml:space="preserve"> history.</w:t>
            </w:r>
          </w:p>
        </w:tc>
      </w:tr>
      <w:tr w:rsidR="00D63CD3" w14:paraId="648131B4" w14:textId="77777777" w:rsidTr="002772CB">
        <w:tc>
          <w:tcPr>
            <w:tcW w:w="2584" w:type="dxa"/>
          </w:tcPr>
          <w:p w14:paraId="648131AF" w14:textId="77777777" w:rsidR="00D63CD3" w:rsidRDefault="00D63CD3" w:rsidP="00AF103E">
            <w:pPr>
              <w:pStyle w:val="NoSpacing"/>
              <w:rPr>
                <w:b/>
              </w:rPr>
            </w:pPr>
            <w:r>
              <w:rPr>
                <w:b/>
              </w:rPr>
              <w:t>Denominator Size</w:t>
            </w:r>
          </w:p>
        </w:tc>
        <w:tc>
          <w:tcPr>
            <w:tcW w:w="6992" w:type="dxa"/>
          </w:tcPr>
          <w:p w14:paraId="648131B0"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648131B1"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648131B2"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w:t>
            </w:r>
            <w:r w:rsidR="003A409E">
              <w:lastRenderedPageBreak/>
              <w:t xml:space="preserve">providers using an electronic health record) or </w:t>
            </w:r>
            <w:r>
              <w:t>a random sample of not less than 76 cases.</w:t>
            </w:r>
          </w:p>
          <w:p w14:paraId="648131B3"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648131B7" w14:textId="77777777" w:rsidTr="002772CB">
        <w:tc>
          <w:tcPr>
            <w:tcW w:w="2584" w:type="dxa"/>
          </w:tcPr>
          <w:p w14:paraId="648131B5" w14:textId="77777777" w:rsidR="00AC3A97" w:rsidRPr="00717546" w:rsidRDefault="00AC3A97" w:rsidP="00AF103E">
            <w:pPr>
              <w:pStyle w:val="NoSpacing"/>
              <w:rPr>
                <w:b/>
              </w:rPr>
            </w:pPr>
            <w:r>
              <w:rPr>
                <w:b/>
              </w:rPr>
              <w:lastRenderedPageBreak/>
              <w:t xml:space="preserve">Numerator Description </w:t>
            </w:r>
          </w:p>
        </w:tc>
        <w:tc>
          <w:tcPr>
            <w:tcW w:w="6992" w:type="dxa"/>
          </w:tcPr>
          <w:p w14:paraId="54DA664A" w14:textId="77777777" w:rsidR="002772CB" w:rsidRDefault="0038395C" w:rsidP="009819A4">
            <w:pPr>
              <w:pStyle w:val="NoSpacing"/>
            </w:pPr>
            <w:r>
              <w:t>Adolescents who had</w:t>
            </w:r>
            <w:r w:rsidR="002772CB">
              <w:t>:</w:t>
            </w:r>
          </w:p>
          <w:p w14:paraId="3D12030E" w14:textId="38DFDC20" w:rsidR="002772CB" w:rsidRDefault="002772CB" w:rsidP="00172351">
            <w:pPr>
              <w:pStyle w:val="NoSpacing"/>
              <w:numPr>
                <w:ilvl w:val="0"/>
                <w:numId w:val="12"/>
              </w:numPr>
            </w:pPr>
            <w:r>
              <w:t>O</w:t>
            </w:r>
            <w:r w:rsidR="0038395C">
              <w:t>ne dose of meningococcal vaccine</w:t>
            </w:r>
            <w:r>
              <w:t>,</w:t>
            </w:r>
            <w:r w:rsidR="0038395C">
              <w:t xml:space="preserve"> and </w:t>
            </w:r>
          </w:p>
          <w:p w14:paraId="648131B6" w14:textId="7F0C86AC" w:rsidR="00AC3A97" w:rsidRPr="009F7E66" w:rsidRDefault="002772CB" w:rsidP="00172351">
            <w:pPr>
              <w:pStyle w:val="NoSpacing"/>
              <w:numPr>
                <w:ilvl w:val="0"/>
                <w:numId w:val="12"/>
              </w:numPr>
            </w:pPr>
            <w:r>
              <w:t xml:space="preserve">One </w:t>
            </w:r>
            <w:r w:rsidR="0038395C">
              <w:t xml:space="preserve">tetanus, diphtheria toxoids and </w:t>
            </w:r>
            <w:proofErr w:type="spellStart"/>
            <w:r w:rsidR="0038395C">
              <w:t>acellular</w:t>
            </w:r>
            <w:proofErr w:type="spellEnd"/>
            <w:r w:rsidR="0038395C">
              <w:t xml:space="preserve"> pertussis vaccine (</w:t>
            </w:r>
            <w:proofErr w:type="spellStart"/>
            <w:r w:rsidR="0038395C">
              <w:t>Tdap</w:t>
            </w:r>
            <w:proofErr w:type="spellEnd"/>
            <w:r w:rsidR="0038395C">
              <w:t>)</w:t>
            </w:r>
            <w:r>
              <w:t>,</w:t>
            </w:r>
            <w:r w:rsidR="0038395C">
              <w:t xml:space="preserve"> or </w:t>
            </w:r>
            <w:proofErr w:type="gramStart"/>
            <w:r w:rsidR="0038395C">
              <w:t>one tetanus</w:t>
            </w:r>
            <w:proofErr w:type="gramEnd"/>
            <w:r w:rsidR="0038395C">
              <w:t>, diphtheria toxoids vaccine (Td) by their 13</w:t>
            </w:r>
            <w:r w:rsidR="0038395C" w:rsidRPr="0038395C">
              <w:rPr>
                <w:vertAlign w:val="superscript"/>
              </w:rPr>
              <w:t>th</w:t>
            </w:r>
            <w:r w:rsidR="0038395C">
              <w:t xml:space="preserve"> birthday. </w:t>
            </w:r>
          </w:p>
        </w:tc>
      </w:tr>
      <w:tr w:rsidR="00787D45" w14:paraId="648131BA" w14:textId="77777777" w:rsidTr="002772CB">
        <w:tc>
          <w:tcPr>
            <w:tcW w:w="2584" w:type="dxa"/>
          </w:tcPr>
          <w:p w14:paraId="648131B8" w14:textId="77777777" w:rsidR="00787D45" w:rsidRPr="00717546" w:rsidRDefault="00787D45" w:rsidP="00AF103E">
            <w:pPr>
              <w:pStyle w:val="NoSpacing"/>
              <w:rPr>
                <w:b/>
              </w:rPr>
            </w:pPr>
            <w:r>
              <w:rPr>
                <w:b/>
              </w:rPr>
              <w:t>Numerator Inclusions</w:t>
            </w:r>
          </w:p>
        </w:tc>
        <w:tc>
          <w:tcPr>
            <w:tcW w:w="6992" w:type="dxa"/>
          </w:tcPr>
          <w:p w14:paraId="648131B9" w14:textId="54E169A3" w:rsidR="00787D45" w:rsidRPr="0012650D" w:rsidRDefault="00787D45" w:rsidP="0038395C">
            <w:pPr>
              <w:pStyle w:val="NoSpacing"/>
              <w:rPr>
                <w:b/>
              </w:rPr>
            </w:pPr>
            <w:r>
              <w:t>The Measure Steward does not identify specific numerator inclusions beyond what is described</w:t>
            </w:r>
            <w:r w:rsidR="0038395C">
              <w:t xml:space="preserve"> in the numerator description.</w:t>
            </w:r>
          </w:p>
        </w:tc>
      </w:tr>
      <w:tr w:rsidR="00787D45" w14:paraId="648131BD" w14:textId="77777777" w:rsidTr="002772CB">
        <w:tc>
          <w:tcPr>
            <w:tcW w:w="2584" w:type="dxa"/>
          </w:tcPr>
          <w:p w14:paraId="648131BB" w14:textId="77777777" w:rsidR="00787D45" w:rsidRPr="00717546" w:rsidRDefault="00787D45" w:rsidP="00AF103E">
            <w:pPr>
              <w:pStyle w:val="NoSpacing"/>
              <w:rPr>
                <w:b/>
              </w:rPr>
            </w:pPr>
            <w:r>
              <w:rPr>
                <w:b/>
              </w:rPr>
              <w:t>Numerator Exclusions</w:t>
            </w:r>
          </w:p>
        </w:tc>
        <w:tc>
          <w:tcPr>
            <w:tcW w:w="6992" w:type="dxa"/>
          </w:tcPr>
          <w:p w14:paraId="648131BC" w14:textId="0FE4B52E" w:rsidR="00787D45" w:rsidRPr="001D6BEA" w:rsidRDefault="00787D45" w:rsidP="002F15E3">
            <w:pPr>
              <w:pStyle w:val="NoSpacing"/>
            </w:pPr>
            <w:r>
              <w:t>The Measure Steward does not identify specific numerator exclusions beyond what is described</w:t>
            </w:r>
            <w:r w:rsidR="0038395C">
              <w:t xml:space="preserve"> in the numerator description.</w:t>
            </w:r>
          </w:p>
        </w:tc>
      </w:tr>
      <w:tr w:rsidR="00AD706B" w14:paraId="648131C0" w14:textId="77777777" w:rsidTr="002772CB">
        <w:tc>
          <w:tcPr>
            <w:tcW w:w="2584" w:type="dxa"/>
          </w:tcPr>
          <w:p w14:paraId="648131BE" w14:textId="77777777" w:rsidR="00AD706B" w:rsidRPr="00717546" w:rsidRDefault="00AD706B" w:rsidP="00A374B8">
            <w:pPr>
              <w:pStyle w:val="NoSpacing"/>
              <w:rPr>
                <w:b/>
              </w:rPr>
            </w:pPr>
            <w:r>
              <w:rPr>
                <w:b/>
              </w:rPr>
              <w:t>Setting</w:t>
            </w:r>
          </w:p>
        </w:tc>
        <w:tc>
          <w:tcPr>
            <w:tcW w:w="6992" w:type="dxa"/>
          </w:tcPr>
          <w:p w14:paraId="648131BF" w14:textId="742B392D" w:rsidR="00AD706B" w:rsidRDefault="00AD706B" w:rsidP="00CD7069">
            <w:pPr>
              <w:pStyle w:val="NoSpacing"/>
            </w:pPr>
            <w:r>
              <w:t>Ambulatory</w:t>
            </w:r>
          </w:p>
        </w:tc>
      </w:tr>
      <w:tr w:rsidR="00AD706B" w14:paraId="648131C3" w14:textId="77777777" w:rsidTr="002772CB">
        <w:tc>
          <w:tcPr>
            <w:tcW w:w="2584" w:type="dxa"/>
          </w:tcPr>
          <w:p w14:paraId="648131C1" w14:textId="77777777" w:rsidR="00AD706B" w:rsidRDefault="00AD706B" w:rsidP="00A374B8">
            <w:pPr>
              <w:pStyle w:val="NoSpacing"/>
              <w:rPr>
                <w:b/>
              </w:rPr>
            </w:pPr>
            <w:r>
              <w:rPr>
                <w:b/>
              </w:rPr>
              <w:t>Data Source</w:t>
            </w:r>
          </w:p>
        </w:tc>
        <w:tc>
          <w:tcPr>
            <w:tcW w:w="6992" w:type="dxa"/>
          </w:tcPr>
          <w:p w14:paraId="648131C2" w14:textId="188D3D1D" w:rsidR="00AD706B" w:rsidRDefault="0038395C" w:rsidP="0038395C">
            <w:pPr>
              <w:pStyle w:val="NoSpacing"/>
            </w:pPr>
            <w:r>
              <w:t>Ad</w:t>
            </w:r>
            <w:bookmarkStart w:id="1" w:name="_GoBack"/>
            <w:bookmarkEnd w:id="1"/>
            <w:r>
              <w:t>ministrative claims, Electronic Clinical Data, Electronic Clinical Data: Registry, Paper Medical Records</w:t>
            </w:r>
            <w:r w:rsidR="00AF3A3D">
              <w:t xml:space="preserve"> </w:t>
            </w:r>
          </w:p>
        </w:tc>
      </w:tr>
      <w:tr w:rsidR="002772CB" w14:paraId="648131E2" w14:textId="77777777" w:rsidTr="002772CB">
        <w:tc>
          <w:tcPr>
            <w:tcW w:w="2584" w:type="dxa"/>
          </w:tcPr>
          <w:p w14:paraId="648131C4" w14:textId="1E976687" w:rsidR="002772CB" w:rsidRPr="00717546" w:rsidRDefault="002772CB" w:rsidP="00F05C01">
            <w:pPr>
              <w:pStyle w:val="NoSpacing"/>
              <w:rPr>
                <w:b/>
              </w:rPr>
            </w:pPr>
            <w:r>
              <w:rPr>
                <w:b/>
              </w:rPr>
              <w:t>Allowable Denominator Sub-sets</w:t>
            </w:r>
          </w:p>
        </w:tc>
        <w:tc>
          <w:tcPr>
            <w:tcW w:w="6992" w:type="dxa"/>
          </w:tcPr>
          <w:p w14:paraId="436745A4" w14:textId="77777777" w:rsidR="002772CB" w:rsidRDefault="002772CB" w:rsidP="005F3878">
            <w:pPr>
              <w:pStyle w:val="NoSpacing"/>
            </w:pPr>
            <w:r>
              <w:t>All denominator subsets are permissible for this outcome</w:t>
            </w:r>
          </w:p>
          <w:p w14:paraId="648131E1" w14:textId="5238346D" w:rsidR="002772CB" w:rsidRDefault="002772CB" w:rsidP="007F7C07">
            <w:pPr>
              <w:pStyle w:val="NoSpacing"/>
            </w:pPr>
            <w:r>
              <w:t> </w:t>
            </w:r>
          </w:p>
        </w:tc>
      </w:tr>
    </w:tbl>
    <w:p w14:paraId="6481322C"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EA9C0" w14:textId="77777777" w:rsidR="00FD769C" w:rsidRDefault="00FD769C" w:rsidP="00F63191">
      <w:pPr>
        <w:spacing w:after="0" w:line="240" w:lineRule="auto"/>
      </w:pPr>
      <w:r>
        <w:separator/>
      </w:r>
    </w:p>
  </w:endnote>
  <w:endnote w:type="continuationSeparator" w:id="0">
    <w:p w14:paraId="0ECAF60D" w14:textId="77777777" w:rsidR="00FD769C" w:rsidRDefault="00FD769C"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2D1F" w14:textId="5FB98556" w:rsidR="001019AB" w:rsidRDefault="001019AB">
    <w:pPr>
      <w:pStyle w:val="Footer"/>
    </w:pPr>
    <w:r>
      <w:t>09/</w:t>
    </w:r>
    <w:r w:rsidR="00527822">
      <w:t>26</w:t>
    </w:r>
    <w:r>
      <w:t>/14</w:t>
    </w:r>
  </w:p>
  <w:p w14:paraId="6481323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764C" w14:textId="77777777" w:rsidR="00FD769C" w:rsidRDefault="00FD769C" w:rsidP="00F63191">
      <w:pPr>
        <w:spacing w:after="0" w:line="240" w:lineRule="auto"/>
      </w:pPr>
      <w:r>
        <w:separator/>
      </w:r>
    </w:p>
  </w:footnote>
  <w:footnote w:type="continuationSeparator" w:id="0">
    <w:p w14:paraId="20727D0B" w14:textId="77777777" w:rsidR="00FD769C" w:rsidRDefault="00FD769C"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13231" w14:textId="622427BD"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82BC2"/>
    <w:multiLevelType w:val="hybridMultilevel"/>
    <w:tmpl w:val="E0B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62F94"/>
    <w:rsid w:val="000C575F"/>
    <w:rsid w:val="000D1199"/>
    <w:rsid w:val="000D5A2D"/>
    <w:rsid w:val="000E3E5A"/>
    <w:rsid w:val="000E7EED"/>
    <w:rsid w:val="00100A2F"/>
    <w:rsid w:val="001019AB"/>
    <w:rsid w:val="00107C1A"/>
    <w:rsid w:val="0011709A"/>
    <w:rsid w:val="00165D76"/>
    <w:rsid w:val="00166607"/>
    <w:rsid w:val="00172351"/>
    <w:rsid w:val="001A5461"/>
    <w:rsid w:val="001A5AA5"/>
    <w:rsid w:val="001D6BEA"/>
    <w:rsid w:val="002224F0"/>
    <w:rsid w:val="00245754"/>
    <w:rsid w:val="00271E53"/>
    <w:rsid w:val="002772CB"/>
    <w:rsid w:val="002845C2"/>
    <w:rsid w:val="002E14AF"/>
    <w:rsid w:val="0032246B"/>
    <w:rsid w:val="00346B8D"/>
    <w:rsid w:val="00356CF4"/>
    <w:rsid w:val="00366D0B"/>
    <w:rsid w:val="00375652"/>
    <w:rsid w:val="00383516"/>
    <w:rsid w:val="0038395C"/>
    <w:rsid w:val="003844DB"/>
    <w:rsid w:val="003A409E"/>
    <w:rsid w:val="003F4E8D"/>
    <w:rsid w:val="00416E44"/>
    <w:rsid w:val="00502BE4"/>
    <w:rsid w:val="00506BC5"/>
    <w:rsid w:val="00527822"/>
    <w:rsid w:val="00536799"/>
    <w:rsid w:val="00561D6D"/>
    <w:rsid w:val="005802A0"/>
    <w:rsid w:val="005857E6"/>
    <w:rsid w:val="005B79DD"/>
    <w:rsid w:val="005C70A1"/>
    <w:rsid w:val="005F4D43"/>
    <w:rsid w:val="00672B30"/>
    <w:rsid w:val="007164C7"/>
    <w:rsid w:val="00743628"/>
    <w:rsid w:val="00750640"/>
    <w:rsid w:val="00760D27"/>
    <w:rsid w:val="00787D45"/>
    <w:rsid w:val="007C728B"/>
    <w:rsid w:val="007C7C85"/>
    <w:rsid w:val="007E0395"/>
    <w:rsid w:val="007F109A"/>
    <w:rsid w:val="007F675B"/>
    <w:rsid w:val="007F7C07"/>
    <w:rsid w:val="00823868"/>
    <w:rsid w:val="00827557"/>
    <w:rsid w:val="008722BB"/>
    <w:rsid w:val="008779F5"/>
    <w:rsid w:val="0088642E"/>
    <w:rsid w:val="00886E0E"/>
    <w:rsid w:val="008A5405"/>
    <w:rsid w:val="008D1A8E"/>
    <w:rsid w:val="008F0411"/>
    <w:rsid w:val="008F249E"/>
    <w:rsid w:val="00965A2A"/>
    <w:rsid w:val="00967948"/>
    <w:rsid w:val="009819A4"/>
    <w:rsid w:val="00994A41"/>
    <w:rsid w:val="00996DD5"/>
    <w:rsid w:val="009C6EA3"/>
    <w:rsid w:val="009F04D0"/>
    <w:rsid w:val="009F78A7"/>
    <w:rsid w:val="009F7E66"/>
    <w:rsid w:val="00A11BD9"/>
    <w:rsid w:val="00A82574"/>
    <w:rsid w:val="00A838D8"/>
    <w:rsid w:val="00AC3A97"/>
    <w:rsid w:val="00AD5C47"/>
    <w:rsid w:val="00AD706B"/>
    <w:rsid w:val="00AF3A3D"/>
    <w:rsid w:val="00B05CBF"/>
    <w:rsid w:val="00B20462"/>
    <w:rsid w:val="00B546CF"/>
    <w:rsid w:val="00B65D92"/>
    <w:rsid w:val="00B7257A"/>
    <w:rsid w:val="00BA61F1"/>
    <w:rsid w:val="00BC4643"/>
    <w:rsid w:val="00C01E6F"/>
    <w:rsid w:val="00C86C48"/>
    <w:rsid w:val="00C9758A"/>
    <w:rsid w:val="00CA2D3E"/>
    <w:rsid w:val="00CA4C08"/>
    <w:rsid w:val="00CC28BC"/>
    <w:rsid w:val="00CD7069"/>
    <w:rsid w:val="00D1777E"/>
    <w:rsid w:val="00D63CD3"/>
    <w:rsid w:val="00D768B4"/>
    <w:rsid w:val="00DB7651"/>
    <w:rsid w:val="00DE660A"/>
    <w:rsid w:val="00E43145"/>
    <w:rsid w:val="00EA4054"/>
    <w:rsid w:val="00EB6678"/>
    <w:rsid w:val="00EF333D"/>
    <w:rsid w:val="00EF4F34"/>
    <w:rsid w:val="00F05C01"/>
    <w:rsid w:val="00F069C3"/>
    <w:rsid w:val="00F06C5E"/>
    <w:rsid w:val="00F20443"/>
    <w:rsid w:val="00F63191"/>
    <w:rsid w:val="00F64CD1"/>
    <w:rsid w:val="00F74D06"/>
    <w:rsid w:val="00F927B0"/>
    <w:rsid w:val="00FD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224799591">
      <w:bodyDiv w:val="1"/>
      <w:marLeft w:val="0"/>
      <w:marRight w:val="0"/>
      <w:marTop w:val="0"/>
      <w:marBottom w:val="0"/>
      <w:divBdr>
        <w:top w:val="none" w:sz="0" w:space="0" w:color="auto"/>
        <w:left w:val="none" w:sz="0" w:space="0" w:color="auto"/>
        <w:bottom w:val="none" w:sz="0" w:space="0" w:color="auto"/>
        <w:right w:val="none" w:sz="0" w:space="0" w:color="auto"/>
      </w:divBdr>
    </w:div>
    <w:div w:id="331834048">
      <w:bodyDiv w:val="1"/>
      <w:marLeft w:val="0"/>
      <w:marRight w:val="0"/>
      <w:marTop w:val="0"/>
      <w:marBottom w:val="0"/>
      <w:divBdr>
        <w:top w:val="none" w:sz="0" w:space="0" w:color="auto"/>
        <w:left w:val="none" w:sz="0" w:space="0" w:color="auto"/>
        <w:bottom w:val="none" w:sz="0" w:space="0" w:color="auto"/>
        <w:right w:val="none" w:sz="0" w:space="0" w:color="auto"/>
      </w:divBdr>
    </w:div>
    <w:div w:id="492066993">
      <w:bodyDiv w:val="1"/>
      <w:marLeft w:val="0"/>
      <w:marRight w:val="0"/>
      <w:marTop w:val="0"/>
      <w:marBottom w:val="0"/>
      <w:divBdr>
        <w:top w:val="none" w:sz="0" w:space="0" w:color="auto"/>
        <w:left w:val="none" w:sz="0" w:space="0" w:color="auto"/>
        <w:bottom w:val="none" w:sz="0" w:space="0" w:color="auto"/>
        <w:right w:val="none" w:sz="0" w:space="0" w:color="auto"/>
      </w:divBdr>
    </w:div>
    <w:div w:id="612440977">
      <w:bodyDiv w:val="1"/>
      <w:marLeft w:val="0"/>
      <w:marRight w:val="0"/>
      <w:marTop w:val="0"/>
      <w:marBottom w:val="0"/>
      <w:divBdr>
        <w:top w:val="none" w:sz="0" w:space="0" w:color="auto"/>
        <w:left w:val="none" w:sz="0" w:space="0" w:color="auto"/>
        <w:bottom w:val="none" w:sz="0" w:space="0" w:color="auto"/>
        <w:right w:val="none" w:sz="0" w:space="0" w:color="auto"/>
      </w:divBdr>
    </w:div>
    <w:div w:id="1037199183">
      <w:bodyDiv w:val="1"/>
      <w:marLeft w:val="0"/>
      <w:marRight w:val="0"/>
      <w:marTop w:val="0"/>
      <w:marBottom w:val="0"/>
      <w:divBdr>
        <w:top w:val="none" w:sz="0" w:space="0" w:color="auto"/>
        <w:left w:val="none" w:sz="0" w:space="0" w:color="auto"/>
        <w:bottom w:val="none" w:sz="0" w:space="0" w:color="auto"/>
        <w:right w:val="none" w:sz="0" w:space="0" w:color="auto"/>
      </w:divBdr>
    </w:div>
    <w:div w:id="1327592757">
      <w:bodyDiv w:val="1"/>
      <w:marLeft w:val="0"/>
      <w:marRight w:val="0"/>
      <w:marTop w:val="0"/>
      <w:marBottom w:val="0"/>
      <w:divBdr>
        <w:top w:val="none" w:sz="0" w:space="0" w:color="auto"/>
        <w:left w:val="none" w:sz="0" w:space="0" w:color="auto"/>
        <w:bottom w:val="none" w:sz="0" w:space="0" w:color="auto"/>
        <w:right w:val="none" w:sz="0" w:space="0" w:color="auto"/>
      </w:divBdr>
    </w:div>
    <w:div w:id="1378434987">
      <w:bodyDiv w:val="1"/>
      <w:marLeft w:val="0"/>
      <w:marRight w:val="0"/>
      <w:marTop w:val="0"/>
      <w:marBottom w:val="0"/>
      <w:divBdr>
        <w:top w:val="none" w:sz="0" w:space="0" w:color="auto"/>
        <w:left w:val="none" w:sz="0" w:space="0" w:color="auto"/>
        <w:bottom w:val="none" w:sz="0" w:space="0" w:color="auto"/>
        <w:right w:val="none" w:sz="0" w:space="0" w:color="auto"/>
      </w:divBdr>
      <w:divsChild>
        <w:div w:id="726803320">
          <w:marLeft w:val="0"/>
          <w:marRight w:val="0"/>
          <w:marTop w:val="0"/>
          <w:marBottom w:val="0"/>
          <w:divBdr>
            <w:top w:val="none" w:sz="0" w:space="0" w:color="auto"/>
            <w:left w:val="none" w:sz="0" w:space="0" w:color="auto"/>
            <w:bottom w:val="none" w:sz="0" w:space="0" w:color="auto"/>
            <w:right w:val="none" w:sz="0" w:space="0" w:color="auto"/>
          </w:divBdr>
          <w:divsChild>
            <w:div w:id="2072461945">
              <w:marLeft w:val="0"/>
              <w:marRight w:val="0"/>
              <w:marTop w:val="0"/>
              <w:marBottom w:val="0"/>
              <w:divBdr>
                <w:top w:val="none" w:sz="0" w:space="0" w:color="auto"/>
                <w:left w:val="none" w:sz="0" w:space="0" w:color="auto"/>
                <w:bottom w:val="none" w:sz="0" w:space="0" w:color="auto"/>
                <w:right w:val="none" w:sz="0" w:space="0" w:color="auto"/>
              </w:divBdr>
              <w:divsChild>
                <w:div w:id="127285448">
                  <w:marLeft w:val="0"/>
                  <w:marRight w:val="0"/>
                  <w:marTop w:val="0"/>
                  <w:marBottom w:val="0"/>
                  <w:divBdr>
                    <w:top w:val="single" w:sz="6" w:space="0" w:color="666699"/>
                    <w:left w:val="single" w:sz="6" w:space="0" w:color="666699"/>
                    <w:bottom w:val="single" w:sz="6" w:space="0" w:color="666699"/>
                    <w:right w:val="single" w:sz="6" w:space="0" w:color="666699"/>
                  </w:divBdr>
                  <w:divsChild>
                    <w:div w:id="1657027969">
                      <w:marLeft w:val="0"/>
                      <w:marRight w:val="0"/>
                      <w:marTop w:val="0"/>
                      <w:marBottom w:val="0"/>
                      <w:divBdr>
                        <w:top w:val="none" w:sz="0" w:space="0" w:color="auto"/>
                        <w:left w:val="none" w:sz="0" w:space="0" w:color="auto"/>
                        <w:bottom w:val="none" w:sz="0" w:space="0" w:color="auto"/>
                        <w:right w:val="none" w:sz="0" w:space="0" w:color="auto"/>
                      </w:divBdr>
                      <w:divsChild>
                        <w:div w:id="1661273695">
                          <w:marLeft w:val="2175"/>
                          <w:marRight w:val="150"/>
                          <w:marTop w:val="0"/>
                          <w:marBottom w:val="0"/>
                          <w:divBdr>
                            <w:top w:val="single" w:sz="6" w:space="0" w:color="000066"/>
                            <w:left w:val="single" w:sz="6" w:space="0" w:color="000066"/>
                            <w:bottom w:val="single" w:sz="6" w:space="0" w:color="000066"/>
                            <w:right w:val="single" w:sz="6" w:space="0" w:color="000066"/>
                          </w:divBdr>
                          <w:divsChild>
                            <w:div w:id="1732801236">
                              <w:marLeft w:val="150"/>
                              <w:marRight w:val="150"/>
                              <w:marTop w:val="150"/>
                              <w:marBottom w:val="150"/>
                              <w:divBdr>
                                <w:top w:val="none" w:sz="0" w:space="0" w:color="auto"/>
                                <w:left w:val="none" w:sz="0" w:space="0" w:color="auto"/>
                                <w:bottom w:val="none" w:sz="0" w:space="0" w:color="auto"/>
                                <w:right w:val="none" w:sz="0" w:space="0" w:color="auto"/>
                              </w:divBdr>
                              <w:divsChild>
                                <w:div w:id="257444530">
                                  <w:marLeft w:val="0"/>
                                  <w:marRight w:val="0"/>
                                  <w:marTop w:val="0"/>
                                  <w:marBottom w:val="0"/>
                                  <w:divBdr>
                                    <w:top w:val="none" w:sz="0" w:space="0" w:color="auto"/>
                                    <w:left w:val="none" w:sz="0" w:space="0" w:color="auto"/>
                                    <w:bottom w:val="none" w:sz="0" w:space="0" w:color="auto"/>
                                    <w:right w:val="none" w:sz="0" w:space="0" w:color="auto"/>
                                  </w:divBdr>
                                  <w:divsChild>
                                    <w:div w:id="1773162238">
                                      <w:marLeft w:val="0"/>
                                      <w:marRight w:val="0"/>
                                      <w:marTop w:val="0"/>
                                      <w:marBottom w:val="0"/>
                                      <w:divBdr>
                                        <w:top w:val="none" w:sz="0" w:space="0" w:color="auto"/>
                                        <w:left w:val="none" w:sz="0" w:space="0" w:color="auto"/>
                                        <w:bottom w:val="none" w:sz="0" w:space="0" w:color="auto"/>
                                        <w:right w:val="none" w:sz="0" w:space="0" w:color="auto"/>
                                      </w:divBdr>
                                      <w:divsChild>
                                        <w:div w:id="857817341">
                                          <w:marLeft w:val="0"/>
                                          <w:marRight w:val="0"/>
                                          <w:marTop w:val="75"/>
                                          <w:marBottom w:val="0"/>
                                          <w:divBdr>
                                            <w:top w:val="none" w:sz="0" w:space="0" w:color="auto"/>
                                            <w:left w:val="none" w:sz="0" w:space="0" w:color="auto"/>
                                            <w:bottom w:val="none" w:sz="0" w:space="0" w:color="auto"/>
                                            <w:right w:val="none" w:sz="0" w:space="0" w:color="auto"/>
                                          </w:divBdr>
                                        </w:div>
                                        <w:div w:id="84502326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measures.ahrq.gov/content.aspx?id=471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F60A9B73-925F-404E-9F91-AA1DBF3D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2014-09-26T20:25:00Z</dcterms:created>
  <dcterms:modified xsi:type="dcterms:W3CDTF">2014-09-26T20:25:00Z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