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CDDF" w14:textId="77777777" w:rsidR="00AD706B" w:rsidRDefault="00AD706B" w:rsidP="00AD706B">
      <w:pPr>
        <w:pStyle w:val="Heading1"/>
      </w:pPr>
      <w:r>
        <w:t>IT-</w:t>
      </w:r>
      <w:r w:rsidR="00CB33DE">
        <w:t>12.19</w:t>
      </w:r>
      <w:r>
        <w:t xml:space="preserve">:  </w:t>
      </w:r>
      <w:r w:rsidR="00CB33DE" w:rsidRPr="00CB33DE">
        <w:t>Osteoporosis: Screening or Therapy for Women Aged 65 Years and Older</w:t>
      </w:r>
    </w:p>
    <w:tbl>
      <w:tblPr>
        <w:tblStyle w:val="TableGrid"/>
        <w:tblW w:w="0" w:type="auto"/>
        <w:tblLook w:val="04A0" w:firstRow="1" w:lastRow="0" w:firstColumn="1" w:lastColumn="0" w:noHBand="0" w:noVBand="1"/>
      </w:tblPr>
      <w:tblGrid>
        <w:gridCol w:w="2718"/>
        <w:gridCol w:w="2286"/>
        <w:gridCol w:w="2286"/>
        <w:gridCol w:w="2286"/>
      </w:tblGrid>
      <w:tr w:rsidR="00AD706B" w14:paraId="3D95CDE2" w14:textId="77777777" w:rsidTr="0011709A">
        <w:trPr>
          <w:tblHeader/>
        </w:trPr>
        <w:tc>
          <w:tcPr>
            <w:tcW w:w="2718" w:type="dxa"/>
            <w:shd w:val="clear" w:color="auto" w:fill="F2F2F2" w:themeFill="background1" w:themeFillShade="F2"/>
          </w:tcPr>
          <w:p w14:paraId="3D95CDE0" w14:textId="77777777" w:rsidR="00AD706B" w:rsidRPr="00717546" w:rsidRDefault="00AD706B" w:rsidP="00A374B8">
            <w:pPr>
              <w:pStyle w:val="NoSpacing"/>
              <w:rPr>
                <w:b/>
              </w:rPr>
            </w:pPr>
            <w:r w:rsidRPr="00717546">
              <w:rPr>
                <w:b/>
              </w:rPr>
              <w:t>Measure Title</w:t>
            </w:r>
          </w:p>
        </w:tc>
        <w:tc>
          <w:tcPr>
            <w:tcW w:w="6858" w:type="dxa"/>
            <w:gridSpan w:val="3"/>
            <w:shd w:val="clear" w:color="auto" w:fill="F2F2F2" w:themeFill="background1" w:themeFillShade="F2"/>
          </w:tcPr>
          <w:p w14:paraId="3D95CDE1" w14:textId="77777777" w:rsidR="00AD706B" w:rsidRPr="008779F5" w:rsidRDefault="00CB33DE" w:rsidP="00B05CBF">
            <w:pPr>
              <w:pStyle w:val="NoSpacing"/>
              <w:rPr>
                <w:b/>
              </w:rPr>
            </w:pPr>
            <w:r w:rsidRPr="00CB33DE">
              <w:rPr>
                <w:b/>
              </w:rPr>
              <w:t>Osteoporosis: Screening or Therapy for Women Aged 65 Years and Older</w:t>
            </w:r>
          </w:p>
        </w:tc>
      </w:tr>
      <w:tr w:rsidR="00AD706B" w14:paraId="3D95CDE5" w14:textId="77777777" w:rsidTr="00A374B8">
        <w:tc>
          <w:tcPr>
            <w:tcW w:w="2718" w:type="dxa"/>
          </w:tcPr>
          <w:p w14:paraId="3D95CDE3" w14:textId="77777777" w:rsidR="00AD706B" w:rsidRPr="00717546" w:rsidRDefault="00AD706B" w:rsidP="00A374B8">
            <w:pPr>
              <w:pStyle w:val="NoSpacing"/>
              <w:rPr>
                <w:b/>
              </w:rPr>
            </w:pPr>
            <w:r w:rsidRPr="00717546">
              <w:rPr>
                <w:b/>
              </w:rPr>
              <w:t>Description</w:t>
            </w:r>
          </w:p>
        </w:tc>
        <w:tc>
          <w:tcPr>
            <w:tcW w:w="6858" w:type="dxa"/>
            <w:gridSpan w:val="3"/>
          </w:tcPr>
          <w:p w14:paraId="3D95CDE4" w14:textId="77777777" w:rsidR="00AD706B" w:rsidRDefault="00CB33DE" w:rsidP="00B05CBF">
            <w:pPr>
              <w:pStyle w:val="NoSpacing"/>
            </w:pPr>
            <w:r>
              <w:t>Percentage of female patients aged 65 years and older who had a central dual-energy X-ray absorptiometry (DXA) measurement ordered or performed at least once since age 60 or pharmacologic therapy prescribed within 12 months.</w:t>
            </w:r>
          </w:p>
        </w:tc>
      </w:tr>
      <w:tr w:rsidR="00AD706B" w14:paraId="3D95CDE8" w14:textId="77777777" w:rsidTr="00A374B8">
        <w:tc>
          <w:tcPr>
            <w:tcW w:w="2718" w:type="dxa"/>
          </w:tcPr>
          <w:p w14:paraId="3D95CDE6" w14:textId="77777777" w:rsidR="00AD706B" w:rsidRPr="00717546" w:rsidRDefault="00AD706B" w:rsidP="00A374B8">
            <w:pPr>
              <w:pStyle w:val="NoSpacing"/>
              <w:rPr>
                <w:b/>
              </w:rPr>
            </w:pPr>
            <w:r w:rsidRPr="00717546">
              <w:rPr>
                <w:b/>
              </w:rPr>
              <w:t>NQF Number</w:t>
            </w:r>
          </w:p>
        </w:tc>
        <w:tc>
          <w:tcPr>
            <w:tcW w:w="6858" w:type="dxa"/>
            <w:gridSpan w:val="3"/>
          </w:tcPr>
          <w:p w14:paraId="3D95CDE7" w14:textId="77777777" w:rsidR="00AD706B" w:rsidRDefault="00CB33DE" w:rsidP="00B05CBF">
            <w:pPr>
              <w:pStyle w:val="NoSpacing"/>
            </w:pPr>
            <w:r>
              <w:t>0046</w:t>
            </w:r>
          </w:p>
        </w:tc>
      </w:tr>
      <w:tr w:rsidR="00AD706B" w14:paraId="3D95CDEB" w14:textId="77777777" w:rsidTr="00A374B8">
        <w:tc>
          <w:tcPr>
            <w:tcW w:w="2718" w:type="dxa"/>
          </w:tcPr>
          <w:p w14:paraId="3D95CDE9" w14:textId="77777777" w:rsidR="00AD706B" w:rsidRPr="00717546" w:rsidRDefault="00AD706B" w:rsidP="00A374B8">
            <w:pPr>
              <w:pStyle w:val="NoSpacing"/>
              <w:rPr>
                <w:b/>
              </w:rPr>
            </w:pPr>
            <w:r>
              <w:rPr>
                <w:b/>
              </w:rPr>
              <w:t>Measure Steward</w:t>
            </w:r>
          </w:p>
        </w:tc>
        <w:tc>
          <w:tcPr>
            <w:tcW w:w="6858" w:type="dxa"/>
            <w:gridSpan w:val="3"/>
          </w:tcPr>
          <w:p w14:paraId="3D95CDEA" w14:textId="77777777" w:rsidR="00AD706B" w:rsidRPr="00631E85" w:rsidRDefault="00CB33DE" w:rsidP="00A374B8">
            <w:pPr>
              <w:pStyle w:val="NoSpacing"/>
            </w:pPr>
            <w:r>
              <w:t>National Committee on Quality Assurance</w:t>
            </w:r>
          </w:p>
        </w:tc>
      </w:tr>
      <w:tr w:rsidR="00AD706B" w14:paraId="3D95CDEF" w14:textId="77777777" w:rsidTr="00A374B8">
        <w:tc>
          <w:tcPr>
            <w:tcW w:w="2718" w:type="dxa"/>
          </w:tcPr>
          <w:p w14:paraId="3D95CDEC" w14:textId="77777777" w:rsidR="00AD706B" w:rsidRDefault="00AD706B" w:rsidP="00A374B8">
            <w:pPr>
              <w:pStyle w:val="NoSpacing"/>
              <w:rPr>
                <w:b/>
              </w:rPr>
            </w:pPr>
            <w:r>
              <w:rPr>
                <w:b/>
              </w:rPr>
              <w:t>Link to measure citation</w:t>
            </w:r>
          </w:p>
        </w:tc>
        <w:tc>
          <w:tcPr>
            <w:tcW w:w="6858" w:type="dxa"/>
            <w:gridSpan w:val="3"/>
          </w:tcPr>
          <w:p w14:paraId="3D95CDED" w14:textId="77777777" w:rsidR="00AD706B" w:rsidRDefault="001D733D" w:rsidP="00A374B8">
            <w:pPr>
              <w:pStyle w:val="NoSpacing"/>
            </w:pPr>
            <w:hyperlink r:id="rId12" w:history="1">
              <w:r w:rsidR="00CB33DE" w:rsidRPr="00A5097F">
                <w:rPr>
                  <w:rStyle w:val="Hyperlink"/>
                </w:rPr>
                <w:t>http://www.qualityforum.org/QPS/0046</w:t>
              </w:r>
            </w:hyperlink>
            <w:r w:rsidR="00CB33DE">
              <w:t xml:space="preserve"> </w:t>
            </w:r>
          </w:p>
          <w:p w14:paraId="3D95CDEE" w14:textId="77777777" w:rsidR="00CB33DE" w:rsidRPr="00631E85" w:rsidRDefault="001D733D" w:rsidP="00A374B8">
            <w:pPr>
              <w:pStyle w:val="NoSpacing"/>
            </w:pPr>
            <w:hyperlink r:id="rId13" w:history="1">
              <w:r w:rsidR="00CC6BE5" w:rsidRPr="00A5097F">
                <w:rPr>
                  <w:rStyle w:val="Hyperlink"/>
                </w:rPr>
                <w:t>http://www.qualitymeasures.ahrq.gov/popups/printView.aspx?id=28134</w:t>
              </w:r>
            </w:hyperlink>
            <w:r w:rsidR="00CC6BE5">
              <w:t xml:space="preserve"> </w:t>
            </w:r>
          </w:p>
        </w:tc>
      </w:tr>
      <w:tr w:rsidR="00AD706B" w14:paraId="3D95CDF2" w14:textId="77777777" w:rsidTr="00A374B8">
        <w:tc>
          <w:tcPr>
            <w:tcW w:w="2718" w:type="dxa"/>
          </w:tcPr>
          <w:p w14:paraId="3D95CDF0" w14:textId="77777777" w:rsidR="00AD706B" w:rsidRDefault="00AD706B" w:rsidP="00A374B8">
            <w:pPr>
              <w:pStyle w:val="NoSpacing"/>
              <w:rPr>
                <w:b/>
              </w:rPr>
            </w:pPr>
            <w:r>
              <w:rPr>
                <w:b/>
              </w:rPr>
              <w:t>Measure type</w:t>
            </w:r>
          </w:p>
        </w:tc>
        <w:tc>
          <w:tcPr>
            <w:tcW w:w="6858" w:type="dxa"/>
            <w:gridSpan w:val="3"/>
          </w:tcPr>
          <w:p w14:paraId="3D95CDF1" w14:textId="15FDC20B" w:rsidR="00AD706B" w:rsidRDefault="005816F8" w:rsidP="00AD706B">
            <w:pPr>
              <w:pStyle w:val="NoSpacing"/>
            </w:pPr>
            <w:r>
              <w:t>Non Stand-Alone (</w:t>
            </w:r>
            <w:r w:rsidR="00CB33DE">
              <w:t>NSA</w:t>
            </w:r>
            <w:r>
              <w:t>)</w:t>
            </w:r>
          </w:p>
        </w:tc>
      </w:tr>
      <w:tr w:rsidR="00AD706B" w14:paraId="3D95CDF5" w14:textId="77777777" w:rsidTr="00A374B8">
        <w:tc>
          <w:tcPr>
            <w:tcW w:w="2718" w:type="dxa"/>
          </w:tcPr>
          <w:p w14:paraId="3D95CDF3" w14:textId="77777777" w:rsidR="00AD706B" w:rsidRDefault="00AD706B" w:rsidP="00A374B8">
            <w:pPr>
              <w:pStyle w:val="NoSpacing"/>
              <w:rPr>
                <w:b/>
              </w:rPr>
            </w:pPr>
            <w:r>
              <w:rPr>
                <w:b/>
              </w:rPr>
              <w:t>Measure status</w:t>
            </w:r>
          </w:p>
        </w:tc>
        <w:tc>
          <w:tcPr>
            <w:tcW w:w="6858" w:type="dxa"/>
            <w:gridSpan w:val="3"/>
          </w:tcPr>
          <w:p w14:paraId="3D95CDF4" w14:textId="35C8AB4F" w:rsidR="00AD706B" w:rsidRDefault="005816F8" w:rsidP="005816F8">
            <w:pPr>
              <w:pStyle w:val="NoSpacing"/>
            </w:pPr>
            <w:r>
              <w:t>P4P</w:t>
            </w:r>
          </w:p>
        </w:tc>
      </w:tr>
      <w:tr w:rsidR="00AD706B" w14:paraId="3D95CDFB" w14:textId="77777777" w:rsidTr="00A374B8">
        <w:tc>
          <w:tcPr>
            <w:tcW w:w="2718" w:type="dxa"/>
          </w:tcPr>
          <w:p w14:paraId="3D95CDF6" w14:textId="77777777" w:rsidR="00AD706B" w:rsidRPr="00717546" w:rsidRDefault="00AD706B" w:rsidP="00A374B8">
            <w:pPr>
              <w:pStyle w:val="NoSpacing"/>
              <w:rPr>
                <w:b/>
              </w:rPr>
            </w:pPr>
            <w:r>
              <w:rPr>
                <w:b/>
              </w:rPr>
              <w:t>DSRIP-specific modifications to Measure Steward’s specification</w:t>
            </w:r>
          </w:p>
        </w:tc>
        <w:tc>
          <w:tcPr>
            <w:tcW w:w="6858" w:type="dxa"/>
            <w:gridSpan w:val="3"/>
          </w:tcPr>
          <w:p w14:paraId="3D95CDFA" w14:textId="2CFF92B0" w:rsidR="009F78A7" w:rsidRDefault="005816F8" w:rsidP="005816F8">
            <w:pPr>
              <w:pStyle w:val="NoSpacing"/>
            </w:pPr>
            <w:r>
              <w:t>None</w:t>
            </w:r>
          </w:p>
        </w:tc>
      </w:tr>
      <w:tr w:rsidR="00AD706B" w14:paraId="3D95CDFE" w14:textId="77777777" w:rsidTr="00A374B8">
        <w:tc>
          <w:tcPr>
            <w:tcW w:w="2718" w:type="dxa"/>
          </w:tcPr>
          <w:p w14:paraId="3D95CDFC"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gridSpan w:val="3"/>
          </w:tcPr>
          <w:p w14:paraId="3D95CDFD" w14:textId="77777777" w:rsidR="00AD706B" w:rsidRPr="009F7E66" w:rsidRDefault="00CB33DE" w:rsidP="001D6BEA">
            <w:pPr>
              <w:pStyle w:val="NoSpacing"/>
            </w:pPr>
            <w:r>
              <w:t>All female patients aged 65 years and older.</w:t>
            </w:r>
          </w:p>
        </w:tc>
      </w:tr>
      <w:tr w:rsidR="00B05CBF" w14:paraId="3D95CE01" w14:textId="77777777" w:rsidTr="00B05CBF">
        <w:trPr>
          <w:trHeight w:val="728"/>
        </w:trPr>
        <w:tc>
          <w:tcPr>
            <w:tcW w:w="2718" w:type="dxa"/>
          </w:tcPr>
          <w:p w14:paraId="3D95CDFF" w14:textId="77777777" w:rsidR="00B05CBF" w:rsidRPr="00717546" w:rsidRDefault="00B05CBF" w:rsidP="00C01E6F">
            <w:pPr>
              <w:pStyle w:val="NoSpacing"/>
              <w:rPr>
                <w:b/>
              </w:rPr>
            </w:pPr>
            <w:r>
              <w:rPr>
                <w:b/>
              </w:rPr>
              <w:t>Denominator Inclusions</w:t>
            </w:r>
          </w:p>
        </w:tc>
        <w:tc>
          <w:tcPr>
            <w:tcW w:w="6858" w:type="dxa"/>
            <w:gridSpan w:val="3"/>
          </w:tcPr>
          <w:p w14:paraId="3D95CE00" w14:textId="024782CD" w:rsidR="00B05CBF" w:rsidRPr="0012650D" w:rsidRDefault="00C92D62" w:rsidP="00C92D62">
            <w:pPr>
              <w:pStyle w:val="NoSpacing"/>
              <w:rPr>
                <w:b/>
              </w:rPr>
            </w:pPr>
            <w:r>
              <w:t>The Measure Steward does not identify specific denominator inclusions beyond what is described in the denominator description.</w:t>
            </w:r>
          </w:p>
        </w:tc>
      </w:tr>
      <w:tr w:rsidR="00B05CBF" w14:paraId="3D95CE07" w14:textId="77777777" w:rsidTr="00B05CBF">
        <w:trPr>
          <w:trHeight w:val="710"/>
        </w:trPr>
        <w:tc>
          <w:tcPr>
            <w:tcW w:w="2718" w:type="dxa"/>
          </w:tcPr>
          <w:p w14:paraId="3D95CE02" w14:textId="77777777" w:rsidR="00B05CBF" w:rsidRPr="00717546" w:rsidRDefault="00B05CBF" w:rsidP="00C01E6F">
            <w:pPr>
              <w:pStyle w:val="NoSpacing"/>
              <w:rPr>
                <w:b/>
              </w:rPr>
            </w:pPr>
            <w:r>
              <w:rPr>
                <w:b/>
              </w:rPr>
              <w:t>Denominator Exclusions</w:t>
            </w:r>
          </w:p>
        </w:tc>
        <w:tc>
          <w:tcPr>
            <w:tcW w:w="6858" w:type="dxa"/>
            <w:gridSpan w:val="3"/>
          </w:tcPr>
          <w:p w14:paraId="3D95CE03" w14:textId="77777777" w:rsidR="00CB33DE" w:rsidRDefault="00CB33DE" w:rsidP="00CB33DE">
            <w:pPr>
              <w:pStyle w:val="NoSpacing"/>
            </w:pPr>
            <w:r>
              <w:t>Exclude patients for whom central DXA measurement was not ordered or performed and pharmacologic therapy was not prescribed by reason of appropriate denominator exception, including:</w:t>
            </w:r>
          </w:p>
          <w:p w14:paraId="3D95CE04" w14:textId="77777777" w:rsidR="00CB33DE" w:rsidRDefault="00CB33DE" w:rsidP="00CB33DE">
            <w:pPr>
              <w:pStyle w:val="NoSpacing"/>
              <w:numPr>
                <w:ilvl w:val="0"/>
                <w:numId w:val="9"/>
              </w:numPr>
            </w:pPr>
            <w:r>
              <w:t>Documentation of medical reason(s) for not ordering or performing a central DXA measurement or not prescribing pharmacologic therapy</w:t>
            </w:r>
          </w:p>
          <w:p w14:paraId="3D95CE05" w14:textId="77777777" w:rsidR="00CB33DE" w:rsidRDefault="00CB33DE" w:rsidP="00CB33DE">
            <w:pPr>
              <w:pStyle w:val="NoSpacing"/>
              <w:numPr>
                <w:ilvl w:val="0"/>
                <w:numId w:val="9"/>
              </w:numPr>
            </w:pPr>
            <w:r>
              <w:t>Documentation of patient reason(s) for not ordering or performing a central DXA measurement or not prescribing pharmacologic therapy</w:t>
            </w:r>
          </w:p>
          <w:p w14:paraId="3D95CE06" w14:textId="77777777" w:rsidR="00B05CBF" w:rsidRPr="001D6BEA" w:rsidRDefault="00CB33DE" w:rsidP="00CB33DE">
            <w:pPr>
              <w:pStyle w:val="NoSpacing"/>
              <w:numPr>
                <w:ilvl w:val="0"/>
                <w:numId w:val="9"/>
              </w:numPr>
            </w:pPr>
            <w:r>
              <w:t>Documentation of system reason(s) for not ordering or performing a central DXA measurement or not prescribing pharmacologic therapy</w:t>
            </w:r>
          </w:p>
        </w:tc>
      </w:tr>
      <w:tr w:rsidR="00D63CD3" w14:paraId="3D95CE0D" w14:textId="77777777" w:rsidTr="00A374B8">
        <w:tc>
          <w:tcPr>
            <w:tcW w:w="2718" w:type="dxa"/>
          </w:tcPr>
          <w:p w14:paraId="3D95CE08" w14:textId="77777777" w:rsidR="00D63CD3" w:rsidRDefault="00D63CD3" w:rsidP="00AF103E">
            <w:pPr>
              <w:pStyle w:val="NoSpacing"/>
              <w:rPr>
                <w:b/>
              </w:rPr>
            </w:pPr>
            <w:r>
              <w:rPr>
                <w:b/>
              </w:rPr>
              <w:t>Denominator Size</w:t>
            </w:r>
          </w:p>
        </w:tc>
        <w:tc>
          <w:tcPr>
            <w:tcW w:w="6858" w:type="dxa"/>
            <w:gridSpan w:val="3"/>
          </w:tcPr>
          <w:p w14:paraId="3D95CE09"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3D95CE0A"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3D95CE0B"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3D95CE0C" w14:textId="239B7A60" w:rsidR="0032246B" w:rsidRPr="001D6BEA" w:rsidRDefault="0032246B" w:rsidP="001466AC">
            <w:pPr>
              <w:pStyle w:val="NoSpacing"/>
              <w:numPr>
                <w:ilvl w:val="0"/>
                <w:numId w:val="8"/>
              </w:numPr>
            </w:pPr>
            <w:r>
              <w:t xml:space="preserve">For a measurement period </w:t>
            </w:r>
            <w:r w:rsidR="0011709A">
              <w:t>(either 6 or 12-months) where the denominator size</w:t>
            </w:r>
            <w:r>
              <w:t xml:space="preserve"> is greater than </w:t>
            </w:r>
            <w:r w:rsidR="001466AC">
              <w:t>380</w:t>
            </w:r>
            <w:r>
              <w:t xml:space="preserve">, providers must report on </w:t>
            </w:r>
            <w:r w:rsidR="003A409E">
              <w:t xml:space="preserve">all </w:t>
            </w:r>
            <w:r w:rsidR="003A409E">
              <w:lastRenderedPageBreak/>
              <w:t xml:space="preserve">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3D95CE10" w14:textId="77777777" w:rsidTr="00A374B8">
        <w:tc>
          <w:tcPr>
            <w:tcW w:w="2718" w:type="dxa"/>
          </w:tcPr>
          <w:p w14:paraId="3D95CE0E" w14:textId="77777777" w:rsidR="00AC3A97" w:rsidRPr="00717546" w:rsidRDefault="00AC3A97" w:rsidP="00AF103E">
            <w:pPr>
              <w:pStyle w:val="NoSpacing"/>
              <w:rPr>
                <w:b/>
              </w:rPr>
            </w:pPr>
            <w:r>
              <w:rPr>
                <w:b/>
              </w:rPr>
              <w:lastRenderedPageBreak/>
              <w:t xml:space="preserve">Numerator Description </w:t>
            </w:r>
          </w:p>
        </w:tc>
        <w:tc>
          <w:tcPr>
            <w:tcW w:w="6858" w:type="dxa"/>
            <w:gridSpan w:val="3"/>
          </w:tcPr>
          <w:p w14:paraId="19F27252" w14:textId="77777777" w:rsidR="00C92D62" w:rsidRDefault="00C92D62" w:rsidP="00C92D62">
            <w:pPr>
              <w:pStyle w:val="NoSpacing"/>
            </w:pPr>
            <w:r>
              <w:t>Patients who had a central dual-energy X-ray absorptiometry (DXA) measurement ordered or performed at least once since age 60 or pharmacologic therapy* prescribed** within 12 months</w:t>
            </w:r>
          </w:p>
          <w:p w14:paraId="05187AFA" w14:textId="77777777" w:rsidR="00C92D62" w:rsidRDefault="00C92D62" w:rsidP="00C92D62">
            <w:pPr>
              <w:pStyle w:val="NoSpacing"/>
            </w:pPr>
          </w:p>
          <w:p w14:paraId="17326B5D" w14:textId="77777777" w:rsidR="00C92D62" w:rsidRDefault="00C92D62" w:rsidP="00C92D62">
            <w:pPr>
              <w:pStyle w:val="NoSpacing"/>
            </w:pPr>
            <w:r>
              <w:t xml:space="preserve">*Pharmacologic Therapy: U.S. Food and Drug Administration approved pharmacologic options for osteoporosis prevention and/or treatment of postmenopausal osteoporosis include, in alphabetical order: bisphosphonates (alendronate, </w:t>
            </w:r>
            <w:proofErr w:type="spellStart"/>
            <w:r>
              <w:t>ibandronate</w:t>
            </w:r>
            <w:proofErr w:type="spellEnd"/>
            <w:r>
              <w:t xml:space="preserve">, and </w:t>
            </w:r>
            <w:proofErr w:type="spellStart"/>
            <w:r>
              <w:t>risedronate</w:t>
            </w:r>
            <w:proofErr w:type="spellEnd"/>
            <w:r>
              <w:t xml:space="preserve">), calcitonin, estrogens (estrogens and/or hormone therapy), parathyroid hormone [PTH (1-34), </w:t>
            </w:r>
            <w:proofErr w:type="spellStart"/>
            <w:r>
              <w:t>teriparatide</w:t>
            </w:r>
            <w:proofErr w:type="spellEnd"/>
            <w:r>
              <w:t>], and selective estrogen receptor modules or SERMs (</w:t>
            </w:r>
            <w:proofErr w:type="spellStart"/>
            <w:r>
              <w:t>raloxifene</w:t>
            </w:r>
            <w:proofErr w:type="spellEnd"/>
            <w:r>
              <w:t>).</w:t>
            </w:r>
          </w:p>
          <w:p w14:paraId="044D9E83" w14:textId="77777777" w:rsidR="00C92D62" w:rsidRDefault="00C92D62" w:rsidP="00C92D62">
            <w:pPr>
              <w:pStyle w:val="NoSpacing"/>
            </w:pPr>
          </w:p>
          <w:p w14:paraId="3D95CE0F" w14:textId="30C6C542" w:rsidR="00AC3A97" w:rsidRPr="009F7E66" w:rsidRDefault="00C92D62" w:rsidP="00C92D62">
            <w:pPr>
              <w:pStyle w:val="NoSpacing"/>
            </w:pPr>
            <w:r>
              <w:t>**Prescribed: Includes patients who are currently receiving medication(s) that follow the treatment plan recommended at an encounter during the reporting period, even if the prescription for that medication was ordered prior to the encounter</w:t>
            </w:r>
          </w:p>
        </w:tc>
      </w:tr>
      <w:tr w:rsidR="00AC3A97" w14:paraId="3D95CE17" w14:textId="77777777" w:rsidTr="00A374B8">
        <w:tc>
          <w:tcPr>
            <w:tcW w:w="2718" w:type="dxa"/>
          </w:tcPr>
          <w:p w14:paraId="3D95CE11" w14:textId="77777777" w:rsidR="00AC3A97" w:rsidRPr="00717546" w:rsidRDefault="00AC3A97" w:rsidP="00AF103E">
            <w:pPr>
              <w:pStyle w:val="NoSpacing"/>
              <w:rPr>
                <w:b/>
              </w:rPr>
            </w:pPr>
            <w:r>
              <w:rPr>
                <w:b/>
              </w:rPr>
              <w:t>Numerator Inclusions</w:t>
            </w:r>
          </w:p>
        </w:tc>
        <w:tc>
          <w:tcPr>
            <w:tcW w:w="6858" w:type="dxa"/>
            <w:gridSpan w:val="3"/>
          </w:tcPr>
          <w:p w14:paraId="3D95CE16" w14:textId="12EB7313" w:rsidR="00AC3A97" w:rsidRPr="0012650D" w:rsidRDefault="00C92D62" w:rsidP="00C92D62">
            <w:pPr>
              <w:pStyle w:val="NoSpacing"/>
              <w:rPr>
                <w:b/>
              </w:rPr>
            </w:pPr>
            <w:r>
              <w:t>The Measure Steward does not identify specific numerator inclusions beyond what is described in the numerator description.</w:t>
            </w:r>
          </w:p>
        </w:tc>
      </w:tr>
      <w:tr w:rsidR="00AC3A97" w14:paraId="3D95CE1A" w14:textId="77777777" w:rsidTr="00A374B8">
        <w:tc>
          <w:tcPr>
            <w:tcW w:w="2718" w:type="dxa"/>
          </w:tcPr>
          <w:p w14:paraId="3D95CE18" w14:textId="77777777" w:rsidR="00AC3A97" w:rsidRPr="00717546" w:rsidRDefault="00AC3A97" w:rsidP="00AF103E">
            <w:pPr>
              <w:pStyle w:val="NoSpacing"/>
              <w:rPr>
                <w:b/>
              </w:rPr>
            </w:pPr>
            <w:r>
              <w:rPr>
                <w:b/>
              </w:rPr>
              <w:t>Numerator Exclusions</w:t>
            </w:r>
          </w:p>
        </w:tc>
        <w:tc>
          <w:tcPr>
            <w:tcW w:w="6858" w:type="dxa"/>
            <w:gridSpan w:val="3"/>
          </w:tcPr>
          <w:p w14:paraId="3D95CE19" w14:textId="77777777" w:rsidR="00AC3A97" w:rsidRPr="001D6BEA" w:rsidRDefault="009F04D0" w:rsidP="002E14AF">
            <w:pPr>
              <w:pStyle w:val="NoSpacing"/>
            </w:pPr>
            <w:r>
              <w:t>The Measure Steward does not identify specific numerator exclusions beyond what is described</w:t>
            </w:r>
            <w:r w:rsidR="00CC6BE5">
              <w:t xml:space="preserve"> in the numerator description.</w:t>
            </w:r>
          </w:p>
        </w:tc>
      </w:tr>
      <w:tr w:rsidR="00AD706B" w14:paraId="3D95CE1D" w14:textId="77777777" w:rsidTr="00A374B8">
        <w:tc>
          <w:tcPr>
            <w:tcW w:w="2718" w:type="dxa"/>
          </w:tcPr>
          <w:p w14:paraId="3D95CE1B" w14:textId="77777777" w:rsidR="00AD706B" w:rsidRPr="00717546" w:rsidRDefault="00AD706B" w:rsidP="00A374B8">
            <w:pPr>
              <w:pStyle w:val="NoSpacing"/>
              <w:rPr>
                <w:b/>
              </w:rPr>
            </w:pPr>
            <w:r>
              <w:rPr>
                <w:b/>
              </w:rPr>
              <w:t>Setting</w:t>
            </w:r>
          </w:p>
        </w:tc>
        <w:tc>
          <w:tcPr>
            <w:tcW w:w="6858" w:type="dxa"/>
            <w:gridSpan w:val="3"/>
          </w:tcPr>
          <w:p w14:paraId="3D95CE1C" w14:textId="77777777" w:rsidR="00AD706B" w:rsidRDefault="00CC6BE5" w:rsidP="00CD7069">
            <w:pPr>
              <w:pStyle w:val="NoSpacing"/>
            </w:pPr>
            <w:r>
              <w:t xml:space="preserve">Ambulatory </w:t>
            </w:r>
          </w:p>
        </w:tc>
      </w:tr>
      <w:tr w:rsidR="00AD706B" w14:paraId="3D95CE22" w14:textId="77777777" w:rsidTr="00A374B8">
        <w:tc>
          <w:tcPr>
            <w:tcW w:w="2718" w:type="dxa"/>
          </w:tcPr>
          <w:p w14:paraId="3D95CE1E" w14:textId="77777777" w:rsidR="00AD706B" w:rsidRDefault="00AD706B" w:rsidP="00A374B8">
            <w:pPr>
              <w:pStyle w:val="NoSpacing"/>
              <w:rPr>
                <w:b/>
              </w:rPr>
            </w:pPr>
            <w:r>
              <w:rPr>
                <w:b/>
              </w:rPr>
              <w:t>Data Source</w:t>
            </w:r>
          </w:p>
        </w:tc>
        <w:tc>
          <w:tcPr>
            <w:tcW w:w="6858" w:type="dxa"/>
            <w:gridSpan w:val="3"/>
          </w:tcPr>
          <w:p w14:paraId="3D95CE1F" w14:textId="77777777" w:rsidR="00CC6BE5" w:rsidRDefault="00CC6BE5" w:rsidP="00CC6BE5">
            <w:pPr>
              <w:pStyle w:val="NoSpacing"/>
              <w:numPr>
                <w:ilvl w:val="0"/>
                <w:numId w:val="10"/>
              </w:numPr>
            </w:pPr>
            <w:r w:rsidRPr="00CC6BE5">
              <w:t>Admin</w:t>
            </w:r>
            <w:r>
              <w:t xml:space="preserve">istrative claims </w:t>
            </w:r>
          </w:p>
          <w:p w14:paraId="3D95CE20" w14:textId="77777777" w:rsidR="00CC6BE5" w:rsidRDefault="00CC6BE5" w:rsidP="00CC6BE5">
            <w:pPr>
              <w:pStyle w:val="NoSpacing"/>
              <w:numPr>
                <w:ilvl w:val="0"/>
                <w:numId w:val="10"/>
              </w:numPr>
            </w:pPr>
            <w:r>
              <w:t>Clinical data</w:t>
            </w:r>
            <w:r w:rsidRPr="00CC6BE5">
              <w:t xml:space="preserve"> </w:t>
            </w:r>
          </w:p>
          <w:p w14:paraId="3D95CE21" w14:textId="77777777" w:rsidR="00AD706B" w:rsidRDefault="00CC6BE5" w:rsidP="00CC6BE5">
            <w:pPr>
              <w:pStyle w:val="NoSpacing"/>
              <w:numPr>
                <w:ilvl w:val="0"/>
                <w:numId w:val="10"/>
              </w:numPr>
            </w:pPr>
            <w:r w:rsidRPr="00CC6BE5">
              <w:t>Electronic Health Records</w:t>
            </w:r>
          </w:p>
        </w:tc>
      </w:tr>
      <w:tr w:rsidR="00AD706B" w14:paraId="3D95CE41" w14:textId="77777777" w:rsidTr="00A374B8">
        <w:tc>
          <w:tcPr>
            <w:tcW w:w="2718" w:type="dxa"/>
          </w:tcPr>
          <w:p w14:paraId="3D95CE23"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6858" w:type="dxa"/>
            <w:gridSpan w:val="3"/>
          </w:tcPr>
          <w:p w14:paraId="1C423A04" w14:textId="77777777" w:rsidR="001466AC" w:rsidRDefault="001466AC" w:rsidP="001466AC">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3D95CE25" w14:textId="77777777" w:rsidR="00416E44" w:rsidRDefault="00416E44" w:rsidP="00A374B8">
            <w:pPr>
              <w:pStyle w:val="NoSpacing"/>
            </w:pPr>
          </w:p>
          <w:p w14:paraId="3D95CE26"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3D95CE27" w14:textId="77777777" w:rsidR="007F7C07" w:rsidRDefault="00416E44" w:rsidP="007F7C07">
            <w:pPr>
              <w:pStyle w:val="NoSpacing"/>
              <w:numPr>
                <w:ilvl w:val="0"/>
                <w:numId w:val="5"/>
              </w:numPr>
            </w:pPr>
            <w:r>
              <w:t>Medicaid</w:t>
            </w:r>
          </w:p>
          <w:p w14:paraId="3D95CE28" w14:textId="77777777" w:rsidR="007F7C07" w:rsidRDefault="007F7C07" w:rsidP="007F7C07">
            <w:pPr>
              <w:pStyle w:val="NoSpacing"/>
              <w:numPr>
                <w:ilvl w:val="0"/>
                <w:numId w:val="5"/>
              </w:numPr>
            </w:pPr>
            <w:r>
              <w:t>Uninsured</w:t>
            </w:r>
            <w:r w:rsidR="00366D0B">
              <w:t>/Indigent</w:t>
            </w:r>
          </w:p>
          <w:p w14:paraId="3D95CE29" w14:textId="77777777" w:rsidR="00366D0B" w:rsidRDefault="00366D0B" w:rsidP="007F7C07">
            <w:pPr>
              <w:pStyle w:val="NoSpacing"/>
              <w:numPr>
                <w:ilvl w:val="0"/>
                <w:numId w:val="5"/>
              </w:numPr>
            </w:pPr>
            <w:r>
              <w:t>Both: Medicaid and Uninsured/Indigent</w:t>
            </w:r>
          </w:p>
          <w:p w14:paraId="3D95CE2A" w14:textId="77777777" w:rsidR="000E7EED" w:rsidRDefault="000E7EED" w:rsidP="00A374B8">
            <w:pPr>
              <w:pStyle w:val="NoSpacing"/>
            </w:pPr>
          </w:p>
          <w:p w14:paraId="3D95CE2B"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3D95CE2C" w14:textId="77777777" w:rsidR="007F7C07" w:rsidRDefault="007F7C07" w:rsidP="007F7C07">
            <w:pPr>
              <w:pStyle w:val="NoSpacing"/>
              <w:numPr>
                <w:ilvl w:val="0"/>
                <w:numId w:val="6"/>
              </w:numPr>
            </w:pPr>
            <w:r>
              <w:t>Male</w:t>
            </w:r>
          </w:p>
          <w:p w14:paraId="3D95CE2D" w14:textId="77777777" w:rsidR="007F7C07" w:rsidRDefault="007F7C07" w:rsidP="007F7C07">
            <w:pPr>
              <w:pStyle w:val="NoSpacing"/>
              <w:numPr>
                <w:ilvl w:val="0"/>
                <w:numId w:val="6"/>
              </w:numPr>
            </w:pPr>
            <w:r>
              <w:t>Female</w:t>
            </w:r>
          </w:p>
          <w:p w14:paraId="3D95CE2E" w14:textId="77777777" w:rsidR="007F7C07" w:rsidRDefault="007F7C07" w:rsidP="00CA4C08">
            <w:pPr>
              <w:pStyle w:val="NoSpacing"/>
            </w:pPr>
          </w:p>
          <w:p w14:paraId="3D95CE2F"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3D95CE30" w14:textId="77777777" w:rsidR="007F7C07" w:rsidRDefault="007F7C07" w:rsidP="007F7C07">
            <w:pPr>
              <w:pStyle w:val="NoSpacing"/>
              <w:numPr>
                <w:ilvl w:val="0"/>
                <w:numId w:val="7"/>
              </w:numPr>
            </w:pPr>
            <w:r>
              <w:lastRenderedPageBreak/>
              <w:t>White/Caucasian</w:t>
            </w:r>
          </w:p>
          <w:p w14:paraId="3D95CE31" w14:textId="77777777" w:rsidR="007F7C07" w:rsidRDefault="007F7C07" w:rsidP="007F7C07">
            <w:pPr>
              <w:pStyle w:val="NoSpacing"/>
              <w:numPr>
                <w:ilvl w:val="0"/>
                <w:numId w:val="7"/>
              </w:numPr>
            </w:pPr>
            <w:r>
              <w:t>Black/African American</w:t>
            </w:r>
          </w:p>
          <w:p w14:paraId="3D95CE32" w14:textId="77777777" w:rsidR="007F7C07" w:rsidRDefault="007F7C07" w:rsidP="007F7C07">
            <w:pPr>
              <w:pStyle w:val="NoSpacing"/>
              <w:numPr>
                <w:ilvl w:val="0"/>
                <w:numId w:val="7"/>
              </w:numPr>
            </w:pPr>
            <w:r>
              <w:t>Latino/Hispanic</w:t>
            </w:r>
          </w:p>
          <w:p w14:paraId="3D95CE33" w14:textId="77777777" w:rsidR="007F7C07" w:rsidRDefault="007F7C07" w:rsidP="007F7C07">
            <w:pPr>
              <w:pStyle w:val="NoSpacing"/>
              <w:numPr>
                <w:ilvl w:val="0"/>
                <w:numId w:val="7"/>
              </w:numPr>
            </w:pPr>
            <w:r>
              <w:t>Asian</w:t>
            </w:r>
          </w:p>
          <w:p w14:paraId="3D95CE34" w14:textId="77777777" w:rsidR="007F7C07" w:rsidRDefault="007F7C07" w:rsidP="007F7C07">
            <w:pPr>
              <w:pStyle w:val="NoSpacing"/>
              <w:numPr>
                <w:ilvl w:val="0"/>
                <w:numId w:val="7"/>
              </w:numPr>
            </w:pPr>
            <w:r>
              <w:t>American Indian/Alaskan Native</w:t>
            </w:r>
          </w:p>
          <w:p w14:paraId="3D95CE35" w14:textId="77777777" w:rsidR="007F7C07" w:rsidRDefault="007F7C07" w:rsidP="007F7C07">
            <w:pPr>
              <w:pStyle w:val="NoSpacing"/>
              <w:numPr>
                <w:ilvl w:val="0"/>
                <w:numId w:val="7"/>
              </w:numPr>
            </w:pPr>
            <w:r>
              <w:t>Native Hawaiian/Other Pacific Islander</w:t>
            </w:r>
          </w:p>
          <w:p w14:paraId="3D95CE36" w14:textId="77777777" w:rsidR="007F7C07" w:rsidRDefault="007F7C07" w:rsidP="00CA4C08">
            <w:pPr>
              <w:pStyle w:val="NoSpacing"/>
            </w:pPr>
          </w:p>
          <w:p w14:paraId="3D95CE37" w14:textId="77777777" w:rsidR="007F7C07" w:rsidRDefault="007F7C07" w:rsidP="00CA4C08">
            <w:pPr>
              <w:pStyle w:val="NoSpacing"/>
            </w:pPr>
            <w:r w:rsidRPr="007F7C07">
              <w:rPr>
                <w:b/>
              </w:rPr>
              <w:t>Age:</w:t>
            </w:r>
            <w:r>
              <w:t xml:space="preserve"> Providers may define the denominator population such that it is limited to an age range:</w:t>
            </w:r>
          </w:p>
          <w:p w14:paraId="3D95CE38" w14:textId="77777777" w:rsidR="007F7C07" w:rsidRDefault="007F7C07" w:rsidP="007F7C07">
            <w:pPr>
              <w:pStyle w:val="NoSpacing"/>
              <w:ind w:left="720"/>
            </w:pPr>
            <w:r>
              <w:t>Lower Bound: ____ (Provider defined)</w:t>
            </w:r>
          </w:p>
          <w:p w14:paraId="3D95CE39" w14:textId="77777777" w:rsidR="007F7C07" w:rsidRDefault="007F7C07" w:rsidP="007F7C07">
            <w:pPr>
              <w:pStyle w:val="NoSpacing"/>
              <w:ind w:left="720"/>
            </w:pPr>
            <w:r>
              <w:t>Upper Bound: ____ (Provider defined)</w:t>
            </w:r>
          </w:p>
          <w:p w14:paraId="3D95CE3A" w14:textId="77777777" w:rsidR="00CA4C08" w:rsidRDefault="00CA4C08" w:rsidP="00CA4C08">
            <w:pPr>
              <w:pStyle w:val="NoSpacing"/>
            </w:pPr>
          </w:p>
          <w:p w14:paraId="664D5AAF" w14:textId="5ADA42C3" w:rsidR="001466AC" w:rsidRDefault="007F7C07" w:rsidP="001466AC">
            <w:pPr>
              <w:pStyle w:val="NoSpacing"/>
            </w:pPr>
            <w:r>
              <w:rPr>
                <w:b/>
              </w:rPr>
              <w:t>Comorbid Condition</w:t>
            </w:r>
            <w:r w:rsidRPr="007F7C07">
              <w:rPr>
                <w:b/>
              </w:rPr>
              <w:t>:</w:t>
            </w:r>
            <w:r>
              <w:t xml:space="preserve"> </w:t>
            </w:r>
            <w:r w:rsidR="001466AC">
              <w:t xml:space="preserve"> Providers may define the denominator population such that it is limited to individuals with one or more comorbid conditions:</w:t>
            </w:r>
          </w:p>
          <w:p w14:paraId="3D95CE3B" w14:textId="7EDC58F3" w:rsidR="007F7C07" w:rsidRDefault="007F7C07" w:rsidP="007F7C07">
            <w:pPr>
              <w:pStyle w:val="NoSpacing"/>
            </w:pPr>
          </w:p>
          <w:p w14:paraId="3D95CE3C" w14:textId="77777777" w:rsidR="007F7C07" w:rsidRDefault="007F7C07" w:rsidP="00A82574">
            <w:pPr>
              <w:pStyle w:val="NoSpacing"/>
              <w:ind w:left="720"/>
            </w:pPr>
            <w:r>
              <w:t>Comorbid condition: ______________ (Provider defined)</w:t>
            </w:r>
          </w:p>
          <w:p w14:paraId="3D95CE3D" w14:textId="77777777" w:rsidR="007F7C07" w:rsidRDefault="007F7C07" w:rsidP="00CA4C08">
            <w:pPr>
              <w:pStyle w:val="NoSpacing"/>
            </w:pPr>
          </w:p>
          <w:p w14:paraId="3D95CE3E"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3D95CE3F" w14:textId="77777777" w:rsidR="007F7C07" w:rsidRDefault="007F7C07" w:rsidP="00A82574">
            <w:pPr>
              <w:pStyle w:val="NoSpacing"/>
              <w:ind w:left="720"/>
            </w:pPr>
            <w:r>
              <w:t xml:space="preserve">Service Setting/Delivery Location(s): ______________ (Provider defined) </w:t>
            </w:r>
          </w:p>
          <w:p w14:paraId="3D95CE40" w14:textId="77777777" w:rsidR="00F927B0" w:rsidRDefault="00CA4C08" w:rsidP="007F7C07">
            <w:pPr>
              <w:pStyle w:val="NoSpacing"/>
            </w:pPr>
            <w:r>
              <w:t> </w:t>
            </w:r>
          </w:p>
        </w:tc>
      </w:tr>
      <w:tr w:rsidR="00AD706B" w14:paraId="3D95CE49" w14:textId="77777777" w:rsidTr="00A374B8">
        <w:tc>
          <w:tcPr>
            <w:tcW w:w="2718" w:type="dxa"/>
          </w:tcPr>
          <w:p w14:paraId="3D95CE42" w14:textId="77777777" w:rsidR="00AD706B" w:rsidRDefault="00AD706B" w:rsidP="00A374B8">
            <w:pPr>
              <w:pStyle w:val="NoSpacing"/>
              <w:rPr>
                <w:b/>
              </w:rPr>
            </w:pPr>
            <w:r>
              <w:rPr>
                <w:b/>
              </w:rPr>
              <w:lastRenderedPageBreak/>
              <w:t>Demonstration Years</w:t>
            </w:r>
          </w:p>
        </w:tc>
        <w:tc>
          <w:tcPr>
            <w:tcW w:w="2286" w:type="dxa"/>
            <w:shd w:val="clear" w:color="auto" w:fill="D9D9D9" w:themeFill="background1" w:themeFillShade="D9"/>
          </w:tcPr>
          <w:p w14:paraId="3D95CE43" w14:textId="77777777" w:rsidR="00AD706B" w:rsidRPr="0031250D" w:rsidRDefault="00AD706B" w:rsidP="00A374B8">
            <w:pPr>
              <w:pStyle w:val="NoSpacing"/>
              <w:jc w:val="center"/>
              <w:rPr>
                <w:b/>
              </w:rPr>
            </w:pPr>
            <w:r w:rsidRPr="0031250D">
              <w:rPr>
                <w:b/>
              </w:rPr>
              <w:t>DY3</w:t>
            </w:r>
          </w:p>
          <w:p w14:paraId="3D95CE44"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286" w:type="dxa"/>
            <w:shd w:val="clear" w:color="auto" w:fill="D9D9D9" w:themeFill="background1" w:themeFillShade="D9"/>
          </w:tcPr>
          <w:p w14:paraId="3D95CE45" w14:textId="77777777" w:rsidR="00AD706B" w:rsidRPr="0031250D" w:rsidRDefault="00AD706B" w:rsidP="00A374B8">
            <w:pPr>
              <w:pStyle w:val="NoSpacing"/>
              <w:jc w:val="center"/>
              <w:rPr>
                <w:b/>
              </w:rPr>
            </w:pPr>
            <w:r w:rsidRPr="0031250D">
              <w:rPr>
                <w:b/>
              </w:rPr>
              <w:t>DY4</w:t>
            </w:r>
          </w:p>
          <w:p w14:paraId="3D95CE46"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286" w:type="dxa"/>
            <w:shd w:val="clear" w:color="auto" w:fill="D9D9D9" w:themeFill="background1" w:themeFillShade="D9"/>
          </w:tcPr>
          <w:p w14:paraId="3D95CE47" w14:textId="77777777" w:rsidR="00AD706B" w:rsidRPr="0031250D" w:rsidRDefault="00AD706B" w:rsidP="00A374B8">
            <w:pPr>
              <w:pStyle w:val="NoSpacing"/>
              <w:jc w:val="center"/>
              <w:rPr>
                <w:b/>
              </w:rPr>
            </w:pPr>
            <w:r w:rsidRPr="0031250D">
              <w:rPr>
                <w:b/>
              </w:rPr>
              <w:t>DY5</w:t>
            </w:r>
          </w:p>
          <w:p w14:paraId="3D95CE48"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3D95CE5B" w14:textId="77777777" w:rsidTr="00A374B8">
        <w:tc>
          <w:tcPr>
            <w:tcW w:w="2718" w:type="dxa"/>
          </w:tcPr>
          <w:p w14:paraId="3D95CE4A" w14:textId="77777777" w:rsidR="00AD706B" w:rsidRDefault="00AD706B" w:rsidP="00A374B8">
            <w:pPr>
              <w:pStyle w:val="NoSpacing"/>
              <w:rPr>
                <w:b/>
              </w:rPr>
            </w:pPr>
            <w:r>
              <w:rPr>
                <w:b/>
              </w:rPr>
              <w:t>Measurement Periods</w:t>
            </w:r>
          </w:p>
          <w:p w14:paraId="3D95CE4B" w14:textId="77777777" w:rsidR="007C728B" w:rsidRDefault="007C728B" w:rsidP="00A374B8">
            <w:pPr>
              <w:pStyle w:val="NoSpacing"/>
              <w:rPr>
                <w:b/>
              </w:rPr>
            </w:pPr>
          </w:p>
          <w:p w14:paraId="3D95CE4C"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286" w:type="dxa"/>
          </w:tcPr>
          <w:p w14:paraId="6EE946BB" w14:textId="77777777" w:rsidR="001466AC" w:rsidRDefault="001466AC" w:rsidP="001466AC">
            <w:pPr>
              <w:pStyle w:val="NoSpacing"/>
              <w:rPr>
                <w:rFonts w:ascii="Calibri" w:hAnsi="Calibri"/>
                <w:b/>
                <w:bCs/>
              </w:rPr>
            </w:pPr>
            <w:bookmarkStart w:id="0" w:name="_GoBack"/>
            <w:bookmarkEnd w:id="0"/>
            <w:r>
              <w:rPr>
                <w:b/>
                <w:bCs/>
              </w:rPr>
              <w:t xml:space="preserve">Providers must report data for </w:t>
            </w:r>
            <w:r>
              <w:rPr>
                <w:b/>
                <w:bCs/>
                <w:u w:val="single"/>
              </w:rPr>
              <w:t>one</w:t>
            </w:r>
            <w:r>
              <w:rPr>
                <w:b/>
                <w:bCs/>
              </w:rPr>
              <w:t xml:space="preserve"> of the following DY, SFY, or CY time periods:</w:t>
            </w:r>
          </w:p>
          <w:p w14:paraId="064B5CFD" w14:textId="77777777" w:rsidR="001466AC" w:rsidRDefault="001466AC" w:rsidP="001466AC">
            <w:pPr>
              <w:pStyle w:val="NoSpacing"/>
            </w:pPr>
            <w:r>
              <w:rPr>
                <w:u w:val="single"/>
              </w:rPr>
              <w:t>12 Month Period</w:t>
            </w:r>
            <w:r>
              <w:t xml:space="preserve">: </w:t>
            </w:r>
          </w:p>
          <w:p w14:paraId="143AFC5A" w14:textId="77777777" w:rsidR="001466AC" w:rsidRDefault="001466AC" w:rsidP="001466AC">
            <w:pPr>
              <w:pStyle w:val="NoSpacing"/>
              <w:numPr>
                <w:ilvl w:val="0"/>
                <w:numId w:val="11"/>
              </w:numPr>
              <w:ind w:left="504"/>
            </w:pPr>
            <w:r>
              <w:t xml:space="preserve">10/01/13 – 09/30/14, or </w:t>
            </w:r>
          </w:p>
          <w:p w14:paraId="35EFC324" w14:textId="77777777" w:rsidR="001466AC" w:rsidRDefault="001466AC" w:rsidP="001466AC">
            <w:pPr>
              <w:pStyle w:val="NoSpacing"/>
              <w:numPr>
                <w:ilvl w:val="0"/>
                <w:numId w:val="11"/>
              </w:numPr>
              <w:ind w:left="504"/>
            </w:pPr>
            <w:r>
              <w:t>09/01/13 – 08/31/14, or</w:t>
            </w:r>
          </w:p>
          <w:p w14:paraId="4A1E09A1" w14:textId="77777777" w:rsidR="001466AC" w:rsidRDefault="001466AC" w:rsidP="001466AC">
            <w:pPr>
              <w:pStyle w:val="NoSpacing"/>
              <w:numPr>
                <w:ilvl w:val="0"/>
                <w:numId w:val="11"/>
              </w:numPr>
              <w:ind w:left="504"/>
            </w:pPr>
            <w:r>
              <w:t>01/01/13 – 12/31/13, or</w:t>
            </w:r>
          </w:p>
          <w:p w14:paraId="7D643F40" w14:textId="77777777" w:rsidR="001466AC" w:rsidRDefault="001466AC" w:rsidP="001466AC">
            <w:pPr>
              <w:pStyle w:val="NoSpacing"/>
              <w:numPr>
                <w:ilvl w:val="0"/>
                <w:numId w:val="11"/>
              </w:numPr>
              <w:ind w:left="504"/>
            </w:pPr>
            <w:r>
              <w:t>10/01/12 – 09/30/13, or</w:t>
            </w:r>
          </w:p>
          <w:p w14:paraId="09DB6B52" w14:textId="77777777" w:rsidR="001466AC" w:rsidRDefault="001466AC" w:rsidP="001466AC">
            <w:pPr>
              <w:pStyle w:val="NoSpacing"/>
              <w:numPr>
                <w:ilvl w:val="0"/>
                <w:numId w:val="11"/>
              </w:numPr>
              <w:ind w:left="504"/>
            </w:pPr>
            <w:r>
              <w:t>09/01/12 – 08/31/13</w:t>
            </w:r>
          </w:p>
          <w:p w14:paraId="41B0E003" w14:textId="77777777" w:rsidR="001466AC" w:rsidRDefault="001466AC" w:rsidP="001466AC">
            <w:pPr>
              <w:pStyle w:val="NoSpacing"/>
            </w:pPr>
            <w:r>
              <w:rPr>
                <w:u w:val="single"/>
              </w:rPr>
              <w:t>6 Month Period</w:t>
            </w:r>
            <w:r>
              <w:t xml:space="preserve">: </w:t>
            </w:r>
          </w:p>
          <w:p w14:paraId="398EA7E9" w14:textId="77777777" w:rsidR="001466AC" w:rsidRDefault="001466AC" w:rsidP="001466AC">
            <w:pPr>
              <w:pStyle w:val="NoSpacing"/>
              <w:numPr>
                <w:ilvl w:val="0"/>
                <w:numId w:val="12"/>
              </w:numPr>
              <w:ind w:left="504"/>
            </w:pPr>
            <w:r>
              <w:t>04/01/14 – 09/30/14, or</w:t>
            </w:r>
          </w:p>
          <w:p w14:paraId="30CC60CD" w14:textId="77777777" w:rsidR="001466AC" w:rsidRDefault="001466AC" w:rsidP="001466AC">
            <w:pPr>
              <w:pStyle w:val="NoSpacing"/>
              <w:numPr>
                <w:ilvl w:val="0"/>
                <w:numId w:val="12"/>
              </w:numPr>
              <w:ind w:left="504"/>
            </w:pPr>
            <w:r>
              <w:t>03/01/13 – 08/31/14, or</w:t>
            </w:r>
          </w:p>
          <w:p w14:paraId="2BAA5311" w14:textId="77777777" w:rsidR="001466AC" w:rsidRDefault="001466AC" w:rsidP="001466AC">
            <w:pPr>
              <w:pStyle w:val="NoSpacing"/>
              <w:numPr>
                <w:ilvl w:val="0"/>
                <w:numId w:val="12"/>
              </w:numPr>
              <w:ind w:left="504"/>
            </w:pPr>
            <w:r>
              <w:t xml:space="preserve">01/01/13 – </w:t>
            </w:r>
            <w:r>
              <w:lastRenderedPageBreak/>
              <w:t>06/30/13, or</w:t>
            </w:r>
          </w:p>
          <w:p w14:paraId="40418EAA" w14:textId="77777777" w:rsidR="001466AC" w:rsidRDefault="001466AC" w:rsidP="001466AC">
            <w:pPr>
              <w:pStyle w:val="NoSpacing"/>
              <w:numPr>
                <w:ilvl w:val="0"/>
                <w:numId w:val="12"/>
              </w:numPr>
              <w:ind w:left="504"/>
            </w:pPr>
            <w:r>
              <w:t>07/01/13 – 12/31/13</w:t>
            </w:r>
          </w:p>
          <w:p w14:paraId="3D95CE54" w14:textId="2E0AE148" w:rsidR="00F05C01" w:rsidRDefault="001466AC" w:rsidP="001466AC">
            <w:pPr>
              <w:pStyle w:val="NoSpacing"/>
            </w:pPr>
            <w:r>
              <w:rPr>
                <w:u w:val="single"/>
              </w:rPr>
              <w:t>Other</w:t>
            </w:r>
            <w:r>
              <w:t>: Providers specify/propose an alternative 6 or 12 month time period to be reviewed and approved by HHSC.</w:t>
            </w:r>
          </w:p>
        </w:tc>
        <w:tc>
          <w:tcPr>
            <w:tcW w:w="2286" w:type="dxa"/>
          </w:tcPr>
          <w:p w14:paraId="3D95CE55" w14:textId="77777777" w:rsidR="00743628" w:rsidRDefault="00886E0E" w:rsidP="00886E0E">
            <w:pPr>
              <w:pStyle w:val="NoSpacing"/>
              <w:rPr>
                <w:b/>
              </w:rPr>
            </w:pPr>
            <w:r>
              <w:rPr>
                <w:b/>
              </w:rPr>
              <w:lastRenderedPageBreak/>
              <w:t>Providers</w:t>
            </w:r>
            <w:r w:rsidR="00743628">
              <w:rPr>
                <w:b/>
              </w:rPr>
              <w:t xml:space="preserve"> must report data across a 12-month time period that meets the following parameters:</w:t>
            </w:r>
          </w:p>
          <w:p w14:paraId="3D95CE56"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3D95CE57"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286" w:type="dxa"/>
          </w:tcPr>
          <w:p w14:paraId="3D95CE58" w14:textId="77777777" w:rsidR="00743628" w:rsidRDefault="00743628" w:rsidP="00743628">
            <w:pPr>
              <w:pStyle w:val="NoSpacing"/>
              <w:rPr>
                <w:b/>
              </w:rPr>
            </w:pPr>
            <w:r>
              <w:rPr>
                <w:b/>
              </w:rPr>
              <w:t>Providers must report data across a 12-month time period that meets the following parameters:</w:t>
            </w:r>
          </w:p>
          <w:p w14:paraId="3D95CE59"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3D95CE5A"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3D95CE62" w14:textId="77777777" w:rsidTr="00A374B8">
        <w:tc>
          <w:tcPr>
            <w:tcW w:w="2718" w:type="dxa"/>
          </w:tcPr>
          <w:p w14:paraId="3D95CE5C" w14:textId="77777777" w:rsidR="00AD706B" w:rsidRDefault="00AD706B" w:rsidP="00A374B8">
            <w:pPr>
              <w:pStyle w:val="NoSpacing"/>
              <w:rPr>
                <w:b/>
              </w:rPr>
            </w:pPr>
            <w:r>
              <w:rPr>
                <w:b/>
              </w:rPr>
              <w:lastRenderedPageBreak/>
              <w:t>Reporting Opportunities to HHSC</w:t>
            </w:r>
          </w:p>
        </w:tc>
        <w:tc>
          <w:tcPr>
            <w:tcW w:w="2286" w:type="dxa"/>
          </w:tcPr>
          <w:p w14:paraId="3D95CE5D" w14:textId="77777777" w:rsidR="00AD706B" w:rsidRDefault="00AD706B" w:rsidP="00A374B8">
            <w:pPr>
              <w:pStyle w:val="NoSpacing"/>
              <w:jc w:val="center"/>
            </w:pPr>
            <w:r w:rsidRPr="00135F3A">
              <w:t>10</w:t>
            </w:r>
            <w:r>
              <w:t>/31/2014</w:t>
            </w:r>
          </w:p>
        </w:tc>
        <w:tc>
          <w:tcPr>
            <w:tcW w:w="2286" w:type="dxa"/>
          </w:tcPr>
          <w:p w14:paraId="3D95CE5E" w14:textId="77777777" w:rsidR="00AD706B" w:rsidRPr="00135F3A" w:rsidRDefault="00AD706B" w:rsidP="00A374B8">
            <w:pPr>
              <w:pStyle w:val="NoSpacing"/>
              <w:jc w:val="center"/>
            </w:pPr>
            <w:r w:rsidRPr="00135F3A">
              <w:t>4/30/2015</w:t>
            </w:r>
          </w:p>
          <w:p w14:paraId="3D95CE5F" w14:textId="77777777" w:rsidR="00AD706B" w:rsidRPr="00AC6074" w:rsidRDefault="00AD706B" w:rsidP="00A374B8">
            <w:pPr>
              <w:pStyle w:val="NoSpacing"/>
              <w:jc w:val="center"/>
              <w:rPr>
                <w:b/>
              </w:rPr>
            </w:pPr>
            <w:r w:rsidRPr="00135F3A">
              <w:t>10/31/2015</w:t>
            </w:r>
          </w:p>
        </w:tc>
        <w:tc>
          <w:tcPr>
            <w:tcW w:w="2286" w:type="dxa"/>
          </w:tcPr>
          <w:p w14:paraId="3D95CE60" w14:textId="77777777" w:rsidR="00AD706B" w:rsidRPr="00135F3A" w:rsidRDefault="00AD706B" w:rsidP="00A374B8">
            <w:pPr>
              <w:pStyle w:val="NoSpacing"/>
              <w:jc w:val="center"/>
            </w:pPr>
            <w:r w:rsidRPr="00135F3A">
              <w:t>4/30/2016</w:t>
            </w:r>
          </w:p>
          <w:p w14:paraId="3D95CE61" w14:textId="77777777" w:rsidR="00AD706B" w:rsidRDefault="00AD706B" w:rsidP="00A374B8">
            <w:pPr>
              <w:pStyle w:val="NoSpacing"/>
              <w:jc w:val="center"/>
              <w:rPr>
                <w:b/>
              </w:rPr>
            </w:pPr>
            <w:r w:rsidRPr="00135F3A">
              <w:t>10/31/2016</w:t>
            </w:r>
          </w:p>
        </w:tc>
      </w:tr>
      <w:tr w:rsidR="000D1199" w14:paraId="3D95CE6A" w14:textId="77777777" w:rsidTr="00A374B8">
        <w:tc>
          <w:tcPr>
            <w:tcW w:w="2718" w:type="dxa"/>
          </w:tcPr>
          <w:p w14:paraId="3D95CE63" w14:textId="77777777" w:rsidR="000D1199" w:rsidRDefault="000D1199" w:rsidP="000D1199">
            <w:pPr>
              <w:pStyle w:val="NoSpacing"/>
              <w:rPr>
                <w:b/>
              </w:rPr>
            </w:pPr>
            <w:r>
              <w:rPr>
                <w:b/>
              </w:rPr>
              <w:t>Pay for Performance Target Methodology</w:t>
            </w:r>
          </w:p>
          <w:p w14:paraId="3D95CE64" w14:textId="77777777" w:rsidR="000D1199" w:rsidRDefault="000D1199" w:rsidP="000D1199">
            <w:pPr>
              <w:pStyle w:val="NoSpacing"/>
              <w:rPr>
                <w:b/>
              </w:rPr>
            </w:pPr>
          </w:p>
          <w:p w14:paraId="3D95CE65" w14:textId="77777777" w:rsidR="000D1199" w:rsidRPr="00375652" w:rsidRDefault="000D1199" w:rsidP="000D1199">
            <w:pPr>
              <w:pStyle w:val="NoSpacing"/>
              <w:rPr>
                <w:i/>
              </w:rPr>
            </w:pPr>
            <w:r w:rsidRPr="00375652">
              <w:rPr>
                <w:i/>
              </w:rPr>
              <w:t>(</w:t>
            </w:r>
            <w:r w:rsidR="0011709A" w:rsidRPr="00375652">
              <w:rPr>
                <w:i/>
              </w:rPr>
              <w:t xml:space="preserve">Note: </w:t>
            </w:r>
            <w:r w:rsidRPr="00375652">
              <w:rPr>
                <w:i/>
              </w:rPr>
              <w:t>See DSRIP Category 3 Companion Document for detailed P4P target methodology descriptions</w:t>
            </w:r>
            <w:r w:rsidR="00375652">
              <w:rPr>
                <w:i/>
              </w:rPr>
              <w:t xml:space="preserve"> pertaining to (1) QISMC methodology, and (2) Improvement Over Self methodology.)</w:t>
            </w:r>
          </w:p>
          <w:p w14:paraId="3D95CE66" w14:textId="77777777" w:rsidR="000D1199" w:rsidRPr="000D1199" w:rsidRDefault="000D1199" w:rsidP="000D1199">
            <w:pPr>
              <w:pStyle w:val="NoSpacing"/>
            </w:pPr>
          </w:p>
        </w:tc>
        <w:tc>
          <w:tcPr>
            <w:tcW w:w="2286" w:type="dxa"/>
          </w:tcPr>
          <w:p w14:paraId="3D95CE67" w14:textId="77777777" w:rsidR="000D1199" w:rsidRDefault="000D1199" w:rsidP="000D1199">
            <w:pPr>
              <w:pStyle w:val="NoSpacing"/>
            </w:pPr>
            <w:r>
              <w:t>Not Applicable</w:t>
            </w:r>
          </w:p>
        </w:tc>
        <w:tc>
          <w:tcPr>
            <w:tcW w:w="2286" w:type="dxa"/>
          </w:tcPr>
          <w:p w14:paraId="3D95CE68" w14:textId="77777777" w:rsidR="000D1199" w:rsidRDefault="00CC6BE5" w:rsidP="000D1199">
            <w:pPr>
              <w:pStyle w:val="NoSpacing"/>
            </w:pPr>
            <w:r>
              <w:t>QISMC</w:t>
            </w:r>
          </w:p>
        </w:tc>
        <w:tc>
          <w:tcPr>
            <w:tcW w:w="2286" w:type="dxa"/>
          </w:tcPr>
          <w:p w14:paraId="3D95CE69" w14:textId="77777777" w:rsidR="000D1199" w:rsidRDefault="00CC6BE5" w:rsidP="000D1199">
            <w:pPr>
              <w:pStyle w:val="NoSpacing"/>
            </w:pPr>
            <w:r>
              <w:t>QISMC</w:t>
            </w:r>
          </w:p>
        </w:tc>
      </w:tr>
      <w:tr w:rsidR="005802A0" w14:paraId="3D95CE70" w14:textId="77777777" w:rsidTr="00A374B8">
        <w:tc>
          <w:tcPr>
            <w:tcW w:w="2718" w:type="dxa"/>
          </w:tcPr>
          <w:p w14:paraId="3D95CE6B" w14:textId="77777777" w:rsidR="005802A0" w:rsidRDefault="005802A0" w:rsidP="00A374B8">
            <w:pPr>
              <w:pStyle w:val="NoSpacing"/>
              <w:rPr>
                <w:b/>
              </w:rPr>
            </w:pPr>
            <w:r>
              <w:rPr>
                <w:b/>
              </w:rPr>
              <w:t xml:space="preserve">Pay for Performance QISMC Benchmark </w:t>
            </w:r>
            <w:r w:rsidR="0088642E">
              <w:rPr>
                <w:b/>
              </w:rPr>
              <w:t>Definition</w:t>
            </w:r>
            <w:r>
              <w:rPr>
                <w:b/>
              </w:rPr>
              <w:t xml:space="preserve"> </w:t>
            </w:r>
          </w:p>
          <w:p w14:paraId="3D95CE6C" w14:textId="77777777" w:rsidR="005802A0" w:rsidRPr="008B27F1" w:rsidRDefault="005802A0" w:rsidP="00A374B8">
            <w:pPr>
              <w:pStyle w:val="NoSpacing"/>
            </w:pPr>
          </w:p>
        </w:tc>
        <w:tc>
          <w:tcPr>
            <w:tcW w:w="2286" w:type="dxa"/>
          </w:tcPr>
          <w:p w14:paraId="3D95CE6D" w14:textId="77777777" w:rsidR="005802A0" w:rsidRPr="0088544A" w:rsidRDefault="005802A0" w:rsidP="000D1199">
            <w:pPr>
              <w:pStyle w:val="NoSpacing"/>
            </w:pPr>
            <w:r>
              <w:t>Not Applicable</w:t>
            </w:r>
          </w:p>
        </w:tc>
        <w:tc>
          <w:tcPr>
            <w:tcW w:w="2286" w:type="dxa"/>
          </w:tcPr>
          <w:p w14:paraId="3D95CE6E" w14:textId="2DF2E9F0" w:rsidR="005802A0" w:rsidRPr="0088544A" w:rsidRDefault="005816F8" w:rsidP="0088642E">
            <w:pPr>
              <w:pStyle w:val="NoSpacing"/>
            </w:pPr>
            <w:r>
              <w:t>National Program</w:t>
            </w:r>
          </w:p>
        </w:tc>
        <w:tc>
          <w:tcPr>
            <w:tcW w:w="2286" w:type="dxa"/>
          </w:tcPr>
          <w:p w14:paraId="3D95CE6F" w14:textId="6A12D5D1" w:rsidR="005802A0" w:rsidRPr="0088544A" w:rsidRDefault="005816F8" w:rsidP="004D0FC3">
            <w:pPr>
              <w:pStyle w:val="NoSpacing"/>
            </w:pPr>
            <w:r>
              <w:t>National Program</w:t>
            </w:r>
          </w:p>
        </w:tc>
      </w:tr>
      <w:tr w:rsidR="0088642E" w14:paraId="3D95CE75" w14:textId="77777777" w:rsidTr="00A374B8">
        <w:tc>
          <w:tcPr>
            <w:tcW w:w="2718" w:type="dxa"/>
          </w:tcPr>
          <w:p w14:paraId="3D95CE71" w14:textId="77777777" w:rsidR="0088642E" w:rsidRDefault="0088642E" w:rsidP="00CC6BE5">
            <w:pPr>
              <w:pStyle w:val="NoSpacing"/>
              <w:rPr>
                <w:b/>
              </w:rPr>
            </w:pPr>
            <w:r>
              <w:rPr>
                <w:b/>
              </w:rPr>
              <w:t xml:space="preserve">Pay for Performance QISMC Benchmark </w:t>
            </w:r>
            <w:r w:rsidR="0011709A">
              <w:rPr>
                <w:b/>
              </w:rPr>
              <w:t>Source</w:t>
            </w:r>
          </w:p>
        </w:tc>
        <w:tc>
          <w:tcPr>
            <w:tcW w:w="2286" w:type="dxa"/>
          </w:tcPr>
          <w:p w14:paraId="3D95CE72" w14:textId="77777777" w:rsidR="0088642E" w:rsidRDefault="0088642E" w:rsidP="000D1199">
            <w:pPr>
              <w:pStyle w:val="NoSpacing"/>
            </w:pPr>
            <w:r>
              <w:t>Not Applicable</w:t>
            </w:r>
          </w:p>
        </w:tc>
        <w:tc>
          <w:tcPr>
            <w:tcW w:w="2286" w:type="dxa"/>
          </w:tcPr>
          <w:p w14:paraId="3D95CE73" w14:textId="77777777" w:rsidR="0088642E" w:rsidRDefault="00CC6BE5" w:rsidP="0088642E">
            <w:pPr>
              <w:pStyle w:val="NoSpacing"/>
            </w:pPr>
            <w:r w:rsidRPr="00CC6BE5">
              <w:t>CMS Physician Quality Reporting Initiative</w:t>
            </w:r>
          </w:p>
        </w:tc>
        <w:tc>
          <w:tcPr>
            <w:tcW w:w="2286" w:type="dxa"/>
          </w:tcPr>
          <w:p w14:paraId="3D95CE74" w14:textId="77777777" w:rsidR="0088642E" w:rsidRDefault="00CC6BE5" w:rsidP="004D0FC3">
            <w:pPr>
              <w:pStyle w:val="NoSpacing"/>
            </w:pPr>
            <w:r w:rsidRPr="00CC6BE5">
              <w:t>CMS Physician Quality Reporting Initiative</w:t>
            </w:r>
          </w:p>
        </w:tc>
      </w:tr>
      <w:tr w:rsidR="005802A0" w14:paraId="3D95CE7A" w14:textId="77777777" w:rsidTr="00A374B8">
        <w:tc>
          <w:tcPr>
            <w:tcW w:w="2718" w:type="dxa"/>
          </w:tcPr>
          <w:p w14:paraId="3D95CE76" w14:textId="77777777" w:rsidR="005802A0" w:rsidRDefault="005802A0" w:rsidP="00A374B8">
            <w:pPr>
              <w:pStyle w:val="NoSpacing"/>
              <w:rPr>
                <w:b/>
              </w:rPr>
            </w:pPr>
            <w:r>
              <w:rPr>
                <w:b/>
              </w:rPr>
              <w:t>Pay for Performance QISMC High Performance Level Definition</w:t>
            </w:r>
          </w:p>
        </w:tc>
        <w:tc>
          <w:tcPr>
            <w:tcW w:w="2286" w:type="dxa"/>
          </w:tcPr>
          <w:p w14:paraId="3D95CE77" w14:textId="77777777" w:rsidR="005802A0" w:rsidRDefault="005802A0" w:rsidP="000D1199">
            <w:pPr>
              <w:pStyle w:val="NoSpacing"/>
            </w:pPr>
            <w:r>
              <w:t>Not Applicable</w:t>
            </w:r>
          </w:p>
        </w:tc>
        <w:tc>
          <w:tcPr>
            <w:tcW w:w="2286" w:type="dxa"/>
          </w:tcPr>
          <w:p w14:paraId="3D95CE78" w14:textId="77777777" w:rsidR="005802A0" w:rsidRDefault="00CC6BE5" w:rsidP="005C70A1">
            <w:pPr>
              <w:pStyle w:val="NoSpacing"/>
            </w:pPr>
            <w:r>
              <w:t>90</w:t>
            </w:r>
            <w:r w:rsidRPr="00CC6BE5">
              <w:rPr>
                <w:vertAlign w:val="superscript"/>
              </w:rPr>
              <w:t>th</w:t>
            </w:r>
            <w:r>
              <w:t xml:space="preserve"> percentile</w:t>
            </w:r>
          </w:p>
        </w:tc>
        <w:tc>
          <w:tcPr>
            <w:tcW w:w="2286" w:type="dxa"/>
          </w:tcPr>
          <w:p w14:paraId="3D95CE79" w14:textId="77777777" w:rsidR="005802A0" w:rsidRDefault="00CC6BE5" w:rsidP="004D0FC3">
            <w:pPr>
              <w:pStyle w:val="NoSpacing"/>
            </w:pPr>
            <w:r>
              <w:t>90</w:t>
            </w:r>
            <w:r w:rsidRPr="00CC6BE5">
              <w:rPr>
                <w:vertAlign w:val="superscript"/>
              </w:rPr>
              <w:t>th</w:t>
            </w:r>
            <w:r>
              <w:t xml:space="preserve"> percentile</w:t>
            </w:r>
          </w:p>
        </w:tc>
      </w:tr>
      <w:tr w:rsidR="005802A0" w14:paraId="3D95CE7F" w14:textId="77777777" w:rsidTr="00A374B8">
        <w:tc>
          <w:tcPr>
            <w:tcW w:w="2718" w:type="dxa"/>
          </w:tcPr>
          <w:p w14:paraId="3D95CE7B" w14:textId="77777777" w:rsidR="005802A0" w:rsidRDefault="005802A0" w:rsidP="005802A0">
            <w:pPr>
              <w:pStyle w:val="NoSpacing"/>
              <w:rPr>
                <w:b/>
              </w:rPr>
            </w:pPr>
            <w:r>
              <w:rPr>
                <w:b/>
              </w:rPr>
              <w:t>Pay for Performance QISMC High Performance Level Value</w:t>
            </w:r>
          </w:p>
        </w:tc>
        <w:tc>
          <w:tcPr>
            <w:tcW w:w="2286" w:type="dxa"/>
          </w:tcPr>
          <w:p w14:paraId="3D95CE7C" w14:textId="77777777" w:rsidR="005802A0" w:rsidRDefault="005802A0" w:rsidP="000D1199">
            <w:pPr>
              <w:pStyle w:val="NoSpacing"/>
            </w:pPr>
            <w:r>
              <w:t>Not Applicable</w:t>
            </w:r>
          </w:p>
        </w:tc>
        <w:tc>
          <w:tcPr>
            <w:tcW w:w="2286" w:type="dxa"/>
          </w:tcPr>
          <w:p w14:paraId="3D95CE7D" w14:textId="77777777" w:rsidR="005802A0" w:rsidRDefault="00CC6BE5" w:rsidP="005802A0">
            <w:pPr>
              <w:pStyle w:val="NoSpacing"/>
            </w:pPr>
            <w:r>
              <w:t>72.55%</w:t>
            </w:r>
          </w:p>
        </w:tc>
        <w:tc>
          <w:tcPr>
            <w:tcW w:w="2286" w:type="dxa"/>
          </w:tcPr>
          <w:p w14:paraId="3D95CE7E" w14:textId="77777777" w:rsidR="005802A0" w:rsidRDefault="00CC6BE5" w:rsidP="004D0FC3">
            <w:pPr>
              <w:pStyle w:val="NoSpacing"/>
            </w:pPr>
            <w:r>
              <w:t>72.55%</w:t>
            </w:r>
          </w:p>
        </w:tc>
      </w:tr>
      <w:tr w:rsidR="00CC6BE5" w14:paraId="3D95CE84" w14:textId="77777777" w:rsidTr="00A374B8">
        <w:tc>
          <w:tcPr>
            <w:tcW w:w="2718" w:type="dxa"/>
          </w:tcPr>
          <w:p w14:paraId="3D95CE80" w14:textId="77777777" w:rsidR="00CC6BE5" w:rsidRDefault="00CC6BE5" w:rsidP="00823868">
            <w:pPr>
              <w:pStyle w:val="NoSpacing"/>
              <w:rPr>
                <w:b/>
              </w:rPr>
            </w:pPr>
            <w:r>
              <w:rPr>
                <w:b/>
              </w:rPr>
              <w:t>Pay for Performance QISMC Minimum Performance Level Definition</w:t>
            </w:r>
          </w:p>
        </w:tc>
        <w:tc>
          <w:tcPr>
            <w:tcW w:w="2286" w:type="dxa"/>
          </w:tcPr>
          <w:p w14:paraId="3D95CE81" w14:textId="77777777" w:rsidR="00CC6BE5" w:rsidRDefault="00CC6BE5" w:rsidP="000D1199">
            <w:pPr>
              <w:pStyle w:val="NoSpacing"/>
            </w:pPr>
            <w:r>
              <w:t>Not Applicable</w:t>
            </w:r>
          </w:p>
        </w:tc>
        <w:tc>
          <w:tcPr>
            <w:tcW w:w="2286" w:type="dxa"/>
          </w:tcPr>
          <w:p w14:paraId="3D95CE82" w14:textId="77777777" w:rsidR="00CC6BE5" w:rsidRDefault="00CC6BE5" w:rsidP="008A1BCB">
            <w:pPr>
              <w:pStyle w:val="NoSpacing"/>
            </w:pPr>
            <w:r>
              <w:t>25</w:t>
            </w:r>
            <w:r w:rsidRPr="00CC6BE5">
              <w:rPr>
                <w:vertAlign w:val="superscript"/>
              </w:rPr>
              <w:t>th</w:t>
            </w:r>
            <w:r>
              <w:t xml:space="preserve"> percentile</w:t>
            </w:r>
          </w:p>
        </w:tc>
        <w:tc>
          <w:tcPr>
            <w:tcW w:w="2286" w:type="dxa"/>
          </w:tcPr>
          <w:p w14:paraId="3D95CE83" w14:textId="77777777" w:rsidR="00CC6BE5" w:rsidRDefault="00CC6BE5" w:rsidP="008A1BCB">
            <w:pPr>
              <w:pStyle w:val="NoSpacing"/>
            </w:pPr>
            <w:r>
              <w:t>25</w:t>
            </w:r>
            <w:r w:rsidRPr="00CC6BE5">
              <w:rPr>
                <w:vertAlign w:val="superscript"/>
              </w:rPr>
              <w:t>th</w:t>
            </w:r>
            <w:r>
              <w:t xml:space="preserve"> percentile</w:t>
            </w:r>
          </w:p>
        </w:tc>
      </w:tr>
      <w:tr w:rsidR="005802A0" w14:paraId="3D95CE89" w14:textId="77777777" w:rsidTr="00A374B8">
        <w:tc>
          <w:tcPr>
            <w:tcW w:w="2718" w:type="dxa"/>
          </w:tcPr>
          <w:p w14:paraId="3D95CE85" w14:textId="77777777" w:rsidR="005802A0" w:rsidRDefault="005802A0" w:rsidP="004D0FC3">
            <w:pPr>
              <w:pStyle w:val="NoSpacing"/>
              <w:rPr>
                <w:b/>
              </w:rPr>
            </w:pPr>
            <w:r>
              <w:rPr>
                <w:b/>
              </w:rPr>
              <w:t>Pay for Performance QISMC Minimum Performance Level Value</w:t>
            </w:r>
          </w:p>
        </w:tc>
        <w:tc>
          <w:tcPr>
            <w:tcW w:w="2286" w:type="dxa"/>
          </w:tcPr>
          <w:p w14:paraId="3D95CE86" w14:textId="77777777" w:rsidR="005802A0" w:rsidRDefault="005802A0" w:rsidP="004D0FC3">
            <w:pPr>
              <w:pStyle w:val="NoSpacing"/>
            </w:pPr>
            <w:r>
              <w:t>Not Applicable</w:t>
            </w:r>
          </w:p>
        </w:tc>
        <w:tc>
          <w:tcPr>
            <w:tcW w:w="2286" w:type="dxa"/>
          </w:tcPr>
          <w:p w14:paraId="3D95CE87" w14:textId="77777777" w:rsidR="005802A0" w:rsidRDefault="00CC6BE5" w:rsidP="005802A0">
            <w:pPr>
              <w:pStyle w:val="NoSpacing"/>
            </w:pPr>
            <w:r>
              <w:t>7.81%</w:t>
            </w:r>
          </w:p>
        </w:tc>
        <w:tc>
          <w:tcPr>
            <w:tcW w:w="2286" w:type="dxa"/>
          </w:tcPr>
          <w:p w14:paraId="3D95CE88" w14:textId="77777777" w:rsidR="005802A0" w:rsidRDefault="00CC6BE5" w:rsidP="005802A0">
            <w:pPr>
              <w:pStyle w:val="NoSpacing"/>
            </w:pPr>
            <w:r>
              <w:t>7.81%</w:t>
            </w:r>
          </w:p>
        </w:tc>
      </w:tr>
    </w:tbl>
    <w:p w14:paraId="3D95CE8A" w14:textId="77777777" w:rsidR="00356CF4" w:rsidRPr="008F249E" w:rsidRDefault="00356CF4" w:rsidP="007C7C85">
      <w:pPr>
        <w:pStyle w:val="Heading2"/>
      </w:pPr>
    </w:p>
    <w:sectPr w:rsidR="00356CF4" w:rsidRPr="008F24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5CE8D" w14:textId="77777777" w:rsidR="000F26EA" w:rsidRDefault="000F26EA" w:rsidP="00F63191">
      <w:pPr>
        <w:spacing w:after="0" w:line="240" w:lineRule="auto"/>
      </w:pPr>
      <w:r>
        <w:separator/>
      </w:r>
    </w:p>
  </w:endnote>
  <w:endnote w:type="continuationSeparator" w:id="0">
    <w:p w14:paraId="3D95CE8E" w14:textId="77777777" w:rsidR="000F26EA" w:rsidRDefault="000F26EA"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3D95CE90" w14:textId="77777777" w:rsidR="002E14AF" w:rsidRDefault="002E14AF">
        <w:pPr>
          <w:pStyle w:val="Footer"/>
          <w:jc w:val="right"/>
        </w:pPr>
        <w:r>
          <w:fldChar w:fldCharType="begin"/>
        </w:r>
        <w:r>
          <w:instrText xml:space="preserve"> PAGE   \* MERGEFORMAT </w:instrText>
        </w:r>
        <w:r>
          <w:fldChar w:fldCharType="separate"/>
        </w:r>
        <w:r w:rsidR="001D733D">
          <w:rPr>
            <w:noProof/>
          </w:rPr>
          <w:t>4</w:t>
        </w:r>
        <w:r>
          <w:rPr>
            <w:noProof/>
          </w:rPr>
          <w:fldChar w:fldCharType="end"/>
        </w:r>
      </w:p>
    </w:sdtContent>
  </w:sdt>
  <w:p w14:paraId="3D95CE91"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5CE8B" w14:textId="77777777" w:rsidR="000F26EA" w:rsidRDefault="000F26EA" w:rsidP="00F63191">
      <w:pPr>
        <w:spacing w:after="0" w:line="240" w:lineRule="auto"/>
      </w:pPr>
      <w:r>
        <w:separator/>
      </w:r>
    </w:p>
  </w:footnote>
  <w:footnote w:type="continuationSeparator" w:id="0">
    <w:p w14:paraId="3D95CE8C" w14:textId="77777777" w:rsidR="000F26EA" w:rsidRDefault="000F26EA"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CE8F" w14:textId="3670E204"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C38"/>
    <w:multiLevelType w:val="hybridMultilevel"/>
    <w:tmpl w:val="6E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D14B6"/>
    <w:multiLevelType w:val="hybridMultilevel"/>
    <w:tmpl w:val="42B6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9"/>
  </w:num>
  <w:num w:numId="5">
    <w:abstractNumId w:val="3"/>
  </w:num>
  <w:num w:numId="6">
    <w:abstractNumId w:val="6"/>
  </w:num>
  <w:num w:numId="7">
    <w:abstractNumId w:val="11"/>
  </w:num>
  <w:num w:numId="8">
    <w:abstractNumId w:val="7"/>
  </w:num>
  <w:num w:numId="9">
    <w:abstractNumId w:val="8"/>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5A2D"/>
    <w:rsid w:val="000E7EED"/>
    <w:rsid w:val="000F26EA"/>
    <w:rsid w:val="00100A2F"/>
    <w:rsid w:val="00107C1A"/>
    <w:rsid w:val="0011709A"/>
    <w:rsid w:val="001466AC"/>
    <w:rsid w:val="00165D76"/>
    <w:rsid w:val="001D6BEA"/>
    <w:rsid w:val="001D733D"/>
    <w:rsid w:val="002224F0"/>
    <w:rsid w:val="00245754"/>
    <w:rsid w:val="00271E53"/>
    <w:rsid w:val="002845C2"/>
    <w:rsid w:val="002E14AF"/>
    <w:rsid w:val="0032246B"/>
    <w:rsid w:val="00346B8D"/>
    <w:rsid w:val="00356CF4"/>
    <w:rsid w:val="00366D0B"/>
    <w:rsid w:val="00375652"/>
    <w:rsid w:val="00383516"/>
    <w:rsid w:val="003844DB"/>
    <w:rsid w:val="003A409E"/>
    <w:rsid w:val="003F4E8D"/>
    <w:rsid w:val="00416E44"/>
    <w:rsid w:val="00457200"/>
    <w:rsid w:val="00502BE4"/>
    <w:rsid w:val="00506BC5"/>
    <w:rsid w:val="00536799"/>
    <w:rsid w:val="005802A0"/>
    <w:rsid w:val="005816F8"/>
    <w:rsid w:val="005857E6"/>
    <w:rsid w:val="0059768E"/>
    <w:rsid w:val="005B79DD"/>
    <w:rsid w:val="005C70A1"/>
    <w:rsid w:val="005F4D43"/>
    <w:rsid w:val="006F70AF"/>
    <w:rsid w:val="007164C7"/>
    <w:rsid w:val="00743628"/>
    <w:rsid w:val="00760D27"/>
    <w:rsid w:val="007C728B"/>
    <w:rsid w:val="007C7C85"/>
    <w:rsid w:val="007E0395"/>
    <w:rsid w:val="007F675B"/>
    <w:rsid w:val="007F7C07"/>
    <w:rsid w:val="00823868"/>
    <w:rsid w:val="00827557"/>
    <w:rsid w:val="008722BB"/>
    <w:rsid w:val="008779F5"/>
    <w:rsid w:val="0088642E"/>
    <w:rsid w:val="00886E0E"/>
    <w:rsid w:val="008A5405"/>
    <w:rsid w:val="008D1A8E"/>
    <w:rsid w:val="008F0411"/>
    <w:rsid w:val="008F249E"/>
    <w:rsid w:val="00965A2A"/>
    <w:rsid w:val="00967948"/>
    <w:rsid w:val="00994A41"/>
    <w:rsid w:val="00996DD5"/>
    <w:rsid w:val="009C6EA3"/>
    <w:rsid w:val="009F04D0"/>
    <w:rsid w:val="009F78A7"/>
    <w:rsid w:val="009F7E66"/>
    <w:rsid w:val="00A11BD9"/>
    <w:rsid w:val="00A82574"/>
    <w:rsid w:val="00AC3A97"/>
    <w:rsid w:val="00AD706B"/>
    <w:rsid w:val="00AF3A3D"/>
    <w:rsid w:val="00B05CBF"/>
    <w:rsid w:val="00B20462"/>
    <w:rsid w:val="00B546CF"/>
    <w:rsid w:val="00B65D92"/>
    <w:rsid w:val="00BA61F1"/>
    <w:rsid w:val="00BC4643"/>
    <w:rsid w:val="00C01E6F"/>
    <w:rsid w:val="00C86C48"/>
    <w:rsid w:val="00C92D62"/>
    <w:rsid w:val="00C9758A"/>
    <w:rsid w:val="00CA2D3E"/>
    <w:rsid w:val="00CA4C08"/>
    <w:rsid w:val="00CB33DE"/>
    <w:rsid w:val="00CC28BC"/>
    <w:rsid w:val="00CC6BE5"/>
    <w:rsid w:val="00CD7069"/>
    <w:rsid w:val="00D1777E"/>
    <w:rsid w:val="00D63CD3"/>
    <w:rsid w:val="00DB7651"/>
    <w:rsid w:val="00DE660A"/>
    <w:rsid w:val="00E43145"/>
    <w:rsid w:val="00E7131C"/>
    <w:rsid w:val="00EB6678"/>
    <w:rsid w:val="00EF333D"/>
    <w:rsid w:val="00F05C01"/>
    <w:rsid w:val="00F069C3"/>
    <w:rsid w:val="00F06C5E"/>
    <w:rsid w:val="00F17199"/>
    <w:rsid w:val="00F20443"/>
    <w:rsid w:val="00F63191"/>
    <w:rsid w:val="00F64CD1"/>
    <w:rsid w:val="00F927B0"/>
    <w:rsid w:val="00FB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762">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039158826">
      <w:bodyDiv w:val="1"/>
      <w:marLeft w:val="0"/>
      <w:marRight w:val="0"/>
      <w:marTop w:val="0"/>
      <w:marBottom w:val="0"/>
      <w:divBdr>
        <w:top w:val="none" w:sz="0" w:space="0" w:color="auto"/>
        <w:left w:val="none" w:sz="0" w:space="0" w:color="auto"/>
        <w:bottom w:val="none" w:sz="0" w:space="0" w:color="auto"/>
        <w:right w:val="none" w:sz="0" w:space="0" w:color="auto"/>
      </w:divBdr>
    </w:div>
    <w:div w:id="2092313665">
      <w:bodyDiv w:val="1"/>
      <w:marLeft w:val="0"/>
      <w:marRight w:val="0"/>
      <w:marTop w:val="0"/>
      <w:marBottom w:val="0"/>
      <w:divBdr>
        <w:top w:val="none" w:sz="0" w:space="0" w:color="auto"/>
        <w:left w:val="none" w:sz="0" w:space="0" w:color="auto"/>
        <w:bottom w:val="none" w:sz="0" w:space="0" w:color="auto"/>
        <w:right w:val="none" w:sz="0" w:space="0" w:color="auto"/>
      </w:divBdr>
    </w:div>
    <w:div w:id="21132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measures.ahrq.gov/popups/printView.aspx?id=2813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QPS/00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DF05-D8C3-46BD-86F8-8F6C8C66F8CB}">
  <ds:schemaRefs>
    <ds:schemaRef ds:uri="http://schemas.microsoft.com/sharepoint/v3/contenttype/forms"/>
  </ds:schemaRefs>
</ds:datastoreItem>
</file>

<file path=customXml/itemProps2.xml><?xml version="1.0" encoding="utf-8"?>
<ds:datastoreItem xmlns:ds="http://schemas.openxmlformats.org/officeDocument/2006/customXml" ds:itemID="{D7A47D93-65D9-4D03-8973-F22082B91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C1F842-04EC-4839-AD7C-ABE730CB23F2}">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A76F849-64E1-4F7D-9C58-4370CC7C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2014-02-25T05:44:00Z</dcterms:created>
  <dcterms:modified xsi:type="dcterms:W3CDTF">2014-02-25T05:44:00Z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