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0E718058" w:rsidR="00AD706B" w:rsidRDefault="00AD706B" w:rsidP="00AD706B">
      <w:pPr>
        <w:pStyle w:val="Heading1"/>
      </w:pPr>
      <w:r>
        <w:t>IT-</w:t>
      </w:r>
      <w:r w:rsidR="0072042B">
        <w:t>12.18</w:t>
      </w:r>
      <w:r>
        <w:t xml:space="preserve">:  </w:t>
      </w:r>
      <w:r w:rsidR="0072042B" w:rsidRPr="0072042B">
        <w:t>Screening for Peripheral Arterial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7399"/>
      </w:tblGrid>
      <w:tr w:rsidR="00AD706B" w14:paraId="780D73B5" w14:textId="77777777" w:rsidTr="0000392A">
        <w:trPr>
          <w:tblHeader/>
        </w:trPr>
        <w:tc>
          <w:tcPr>
            <w:tcW w:w="2177" w:type="dxa"/>
            <w:shd w:val="clear" w:color="auto" w:fill="F2F2F2" w:themeFill="background1" w:themeFillShade="F2"/>
          </w:tcPr>
          <w:p w14:paraId="780D73B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7399" w:type="dxa"/>
            <w:shd w:val="clear" w:color="auto" w:fill="F2F2F2" w:themeFill="background1" w:themeFillShade="F2"/>
          </w:tcPr>
          <w:p w14:paraId="780D73B4" w14:textId="4A008F15" w:rsidR="00AD706B" w:rsidRPr="008779F5" w:rsidRDefault="00987BD0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IT-12.18 </w:t>
            </w:r>
            <w:r w:rsidR="0072042B" w:rsidRPr="0072042B">
              <w:rPr>
                <w:b/>
              </w:rPr>
              <w:t>Screening for Peripheral Arterial Disease</w:t>
            </w:r>
          </w:p>
        </w:tc>
      </w:tr>
      <w:tr w:rsidR="00AD706B" w14:paraId="780D73B8" w14:textId="77777777" w:rsidTr="0000392A">
        <w:tc>
          <w:tcPr>
            <w:tcW w:w="2177" w:type="dxa"/>
          </w:tcPr>
          <w:p w14:paraId="780D73B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7399" w:type="dxa"/>
          </w:tcPr>
          <w:p w14:paraId="780D73B7" w14:textId="5731B6F3" w:rsidR="00AD706B" w:rsidRDefault="000D555A" w:rsidP="000D555A">
            <w:pPr>
              <w:pStyle w:val="NoSpacing"/>
            </w:pPr>
            <w:r>
              <w:t>Proportion of</w:t>
            </w:r>
            <w:r w:rsidR="0077154A" w:rsidRPr="0077154A">
              <w:t xml:space="preserve"> patients receiving ankle-brachial index (ABI) screening for  Peripheral Arterial Disease (PAD)</w:t>
            </w:r>
          </w:p>
        </w:tc>
      </w:tr>
      <w:tr w:rsidR="00AD706B" w14:paraId="780D73BB" w14:textId="77777777" w:rsidTr="0000392A">
        <w:tc>
          <w:tcPr>
            <w:tcW w:w="2177" w:type="dxa"/>
          </w:tcPr>
          <w:p w14:paraId="780D73B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7399" w:type="dxa"/>
          </w:tcPr>
          <w:p w14:paraId="780D73BA" w14:textId="14A4DC63" w:rsidR="00AD706B" w:rsidRDefault="00100A2F" w:rsidP="0077154A">
            <w:pPr>
              <w:pStyle w:val="NoSpacing"/>
            </w:pPr>
            <w:r>
              <w:t>Not applicable</w:t>
            </w:r>
          </w:p>
        </w:tc>
      </w:tr>
      <w:tr w:rsidR="00AD706B" w14:paraId="780D73BE" w14:textId="77777777" w:rsidTr="0000392A">
        <w:tc>
          <w:tcPr>
            <w:tcW w:w="2177" w:type="dxa"/>
          </w:tcPr>
          <w:p w14:paraId="780D73BC" w14:textId="38C3DF7F" w:rsidR="00AD706B" w:rsidRPr="00717546" w:rsidRDefault="00AD706B" w:rsidP="0014328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Measure </w:t>
            </w:r>
            <w:r w:rsidR="0014328B">
              <w:rPr>
                <w:b/>
              </w:rPr>
              <w:t>Source</w:t>
            </w:r>
          </w:p>
        </w:tc>
        <w:tc>
          <w:tcPr>
            <w:tcW w:w="7399" w:type="dxa"/>
          </w:tcPr>
          <w:p w14:paraId="780D73BD" w14:textId="6D7DDE11" w:rsidR="00AD706B" w:rsidRPr="00631E85" w:rsidRDefault="0077154A" w:rsidP="00105B54">
            <w:pPr>
              <w:pStyle w:val="NoSpacing"/>
            </w:pPr>
            <w:r w:rsidRPr="0077154A">
              <w:t>American Heart Association / Society of Interventional Radiology</w:t>
            </w:r>
          </w:p>
        </w:tc>
      </w:tr>
      <w:tr w:rsidR="00AD706B" w14:paraId="780D73C1" w14:textId="77777777" w:rsidTr="0000392A">
        <w:tc>
          <w:tcPr>
            <w:tcW w:w="2177" w:type="dxa"/>
          </w:tcPr>
          <w:p w14:paraId="780D73BF" w14:textId="4D61D863" w:rsidR="00AD706B" w:rsidRDefault="00AD706B" w:rsidP="0014328B">
            <w:pPr>
              <w:pStyle w:val="NoSpacing"/>
              <w:rPr>
                <w:b/>
              </w:rPr>
            </w:pPr>
            <w:r>
              <w:rPr>
                <w:b/>
              </w:rPr>
              <w:t>Link to measure</w:t>
            </w:r>
            <w:r w:rsidR="0014328B">
              <w:rPr>
                <w:b/>
              </w:rPr>
              <w:t xml:space="preserve"> </w:t>
            </w:r>
            <w:r w:rsidR="004F7B1F">
              <w:rPr>
                <w:b/>
              </w:rPr>
              <w:t>S</w:t>
            </w:r>
            <w:r w:rsidR="0014328B">
              <w:rPr>
                <w:b/>
              </w:rPr>
              <w:t>ources</w:t>
            </w:r>
          </w:p>
        </w:tc>
        <w:tc>
          <w:tcPr>
            <w:tcW w:w="7399" w:type="dxa"/>
          </w:tcPr>
          <w:p w14:paraId="131390AB" w14:textId="04D9258C" w:rsidR="0014328B" w:rsidRDefault="007D7618" w:rsidP="00F62A58">
            <w:pPr>
              <w:pStyle w:val="NoSpacing"/>
            </w:pPr>
            <w:hyperlink r:id="rId12" w:history="1">
              <w:r w:rsidR="0014328B" w:rsidRPr="00A2784D">
                <w:rPr>
                  <w:rStyle w:val="Hyperlink"/>
                </w:rPr>
                <w:t>http://www.ncbi.nlm.nih.gov/pmc/articles/PMC2779349/</w:t>
              </w:r>
            </w:hyperlink>
          </w:p>
          <w:p w14:paraId="780D73C0" w14:textId="380E6988" w:rsidR="00AD706B" w:rsidRPr="00631E85" w:rsidRDefault="0014328B" w:rsidP="00F62A58">
            <w:pPr>
              <w:pStyle w:val="NoSpacing"/>
            </w:pPr>
            <w:r w:rsidRPr="0014328B">
              <w:t>http://www.uspreventiveservicestaskforce.org/uspstf05/pad/padrs.htm#clinical</w:t>
            </w:r>
          </w:p>
        </w:tc>
      </w:tr>
      <w:tr w:rsidR="00AD706B" w14:paraId="780D73C4" w14:textId="77777777" w:rsidTr="0000392A">
        <w:tc>
          <w:tcPr>
            <w:tcW w:w="2177" w:type="dxa"/>
          </w:tcPr>
          <w:p w14:paraId="780D73C2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7399" w:type="dxa"/>
          </w:tcPr>
          <w:p w14:paraId="780D73C3" w14:textId="6956F421" w:rsidR="00AD706B" w:rsidRDefault="00165D76" w:rsidP="0077154A">
            <w:pPr>
              <w:pStyle w:val="NoSpacing"/>
            </w:pPr>
            <w:r>
              <w:t>Non Stand-A</w:t>
            </w:r>
            <w:r w:rsidR="00AD706B">
              <w:t>lone</w:t>
            </w:r>
            <w:r>
              <w:t xml:space="preserve"> (NSA)</w:t>
            </w:r>
          </w:p>
        </w:tc>
      </w:tr>
      <w:tr w:rsidR="00987BD0" w14:paraId="780D73C7" w14:textId="77777777" w:rsidTr="0000392A">
        <w:tc>
          <w:tcPr>
            <w:tcW w:w="2177" w:type="dxa"/>
          </w:tcPr>
          <w:p w14:paraId="780D73C5" w14:textId="30417E74" w:rsidR="00987BD0" w:rsidRDefault="00987BD0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7399" w:type="dxa"/>
          </w:tcPr>
          <w:p w14:paraId="780D73C6" w14:textId="30117AFD" w:rsidR="00987BD0" w:rsidRDefault="00987BD0" w:rsidP="0014328B">
            <w:pPr>
              <w:pStyle w:val="NoSpacing"/>
            </w:pPr>
            <w:r>
              <w:t>Pay-for-Reporting: Prior Authorization</w:t>
            </w:r>
          </w:p>
        </w:tc>
      </w:tr>
      <w:tr w:rsidR="00AD706B" w14:paraId="780D73D0" w14:textId="77777777" w:rsidTr="0000392A">
        <w:tc>
          <w:tcPr>
            <w:tcW w:w="2177" w:type="dxa"/>
          </w:tcPr>
          <w:p w14:paraId="780D73C8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7399" w:type="dxa"/>
          </w:tcPr>
          <w:p w14:paraId="780D73CF" w14:textId="01CD3526" w:rsidR="009F78A7" w:rsidRDefault="0077154A" w:rsidP="0077154A">
            <w:pPr>
              <w:pStyle w:val="NoSpacing"/>
            </w:pPr>
            <w:r>
              <w:t>None</w:t>
            </w:r>
          </w:p>
        </w:tc>
      </w:tr>
      <w:tr w:rsidR="00AD706B" w14:paraId="780D73D3" w14:textId="77777777" w:rsidTr="0000392A">
        <w:tc>
          <w:tcPr>
            <w:tcW w:w="2177" w:type="dxa"/>
          </w:tcPr>
          <w:p w14:paraId="780D73D1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7399" w:type="dxa"/>
          </w:tcPr>
          <w:p w14:paraId="6E83A3F9" w14:textId="77777777" w:rsidR="00E02095" w:rsidRDefault="0077154A" w:rsidP="00F62A58">
            <w:pPr>
              <w:pStyle w:val="NoSpacing"/>
            </w:pPr>
            <w:r w:rsidRPr="0077154A">
              <w:t>All patients with documented risk factors for Peripheral Arterial Disease (PAD)</w:t>
            </w:r>
            <w:r>
              <w:t>.</w:t>
            </w:r>
          </w:p>
          <w:p w14:paraId="0A33169E" w14:textId="77777777" w:rsidR="002C3B5C" w:rsidRDefault="002C3B5C" w:rsidP="00F62A58">
            <w:pPr>
              <w:pStyle w:val="NoSpacing"/>
            </w:pPr>
          </w:p>
          <w:p w14:paraId="780D73D2" w14:textId="1CC0D6EE" w:rsidR="002C3B5C" w:rsidRPr="009F7E66" w:rsidRDefault="002C3B5C" w:rsidP="007D7618">
            <w:pPr>
              <w:pStyle w:val="NoSpacing"/>
            </w:pPr>
          </w:p>
        </w:tc>
      </w:tr>
      <w:tr w:rsidR="00787D45" w14:paraId="780D73D6" w14:textId="77777777" w:rsidTr="0000392A">
        <w:trPr>
          <w:trHeight w:val="728"/>
        </w:trPr>
        <w:tc>
          <w:tcPr>
            <w:tcW w:w="2177" w:type="dxa"/>
          </w:tcPr>
          <w:p w14:paraId="780D73D4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7399" w:type="dxa"/>
          </w:tcPr>
          <w:p w14:paraId="25C0AB0C" w14:textId="77777777" w:rsidR="00987BD0" w:rsidRDefault="00987BD0" w:rsidP="00987BD0">
            <w:pPr>
              <w:pStyle w:val="NoSpacing"/>
            </w:pPr>
            <w:r>
              <w:t xml:space="preserve">*Patients with suspected lower extremity PAD can be defined as individuals with one or more of the following: </w:t>
            </w:r>
            <w:proofErr w:type="spellStart"/>
            <w:r>
              <w:t>exertional</w:t>
            </w:r>
            <w:proofErr w:type="spellEnd"/>
            <w:r>
              <w:t xml:space="preserve"> leg symptoms, non-healing wounds, age 65 and older, or 50 years and older with a history of smoking or diabetes.</w:t>
            </w:r>
          </w:p>
          <w:p w14:paraId="780D73D5" w14:textId="78088A52" w:rsidR="00787D45" w:rsidRPr="0012650D" w:rsidRDefault="00787D45" w:rsidP="002F15E3">
            <w:pPr>
              <w:pStyle w:val="NoSpacing"/>
              <w:rPr>
                <w:b/>
              </w:rPr>
            </w:pPr>
          </w:p>
        </w:tc>
      </w:tr>
      <w:tr w:rsidR="00787D45" w14:paraId="780D73D9" w14:textId="77777777" w:rsidTr="0000392A">
        <w:trPr>
          <w:trHeight w:val="710"/>
        </w:trPr>
        <w:tc>
          <w:tcPr>
            <w:tcW w:w="2177" w:type="dxa"/>
          </w:tcPr>
          <w:p w14:paraId="780D73D7" w14:textId="77777777" w:rsidR="00787D45" w:rsidRPr="00717546" w:rsidRDefault="00787D45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7399" w:type="dxa"/>
          </w:tcPr>
          <w:p w14:paraId="780D73D8" w14:textId="3925CCC5" w:rsidR="00787D45" w:rsidRPr="001D6BEA" w:rsidRDefault="004F7B1F" w:rsidP="002F15E3">
            <w:pPr>
              <w:pStyle w:val="NoSpacing"/>
            </w:pPr>
            <w:r>
              <w:t>None specified</w:t>
            </w:r>
          </w:p>
        </w:tc>
      </w:tr>
      <w:tr w:rsidR="00D63CD3" w14:paraId="780D73DF" w14:textId="77777777" w:rsidTr="0000392A">
        <w:trPr>
          <w:trHeight w:val="4175"/>
        </w:trPr>
        <w:tc>
          <w:tcPr>
            <w:tcW w:w="2177" w:type="dxa"/>
          </w:tcPr>
          <w:p w14:paraId="780D73DA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7399" w:type="dxa"/>
          </w:tcPr>
          <w:p w14:paraId="780D73DB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780D73DC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780D73DD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780D73DE" w14:textId="77777777" w:rsidR="0032246B" w:rsidRPr="001D6BEA" w:rsidRDefault="0032246B" w:rsidP="00561D6D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561D6D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780D73E2" w14:textId="77777777" w:rsidTr="0000392A">
        <w:tc>
          <w:tcPr>
            <w:tcW w:w="2177" w:type="dxa"/>
          </w:tcPr>
          <w:p w14:paraId="780D73E0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7399" w:type="dxa"/>
          </w:tcPr>
          <w:p w14:paraId="780D73E1" w14:textId="02A6160A" w:rsidR="002C3B5C" w:rsidRPr="009F7E66" w:rsidRDefault="0077154A" w:rsidP="002C3B5C">
            <w:pPr>
              <w:pStyle w:val="NoSpacing"/>
            </w:pPr>
            <w:r w:rsidRPr="0077154A">
              <w:t>Number of patients receiving ankle-brachial index (ABI) screening for  Peripheral Arterial Disease (PAD)</w:t>
            </w:r>
          </w:p>
        </w:tc>
      </w:tr>
      <w:tr w:rsidR="00787D45" w14:paraId="780D73E5" w14:textId="77777777" w:rsidTr="0000392A">
        <w:tc>
          <w:tcPr>
            <w:tcW w:w="2177" w:type="dxa"/>
          </w:tcPr>
          <w:p w14:paraId="780D73E3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7399" w:type="dxa"/>
          </w:tcPr>
          <w:p w14:paraId="780D73E4" w14:textId="2FD0A5D2" w:rsidR="00787D45" w:rsidRPr="0012650D" w:rsidRDefault="002C3B5C" w:rsidP="002F15E3">
            <w:pPr>
              <w:pStyle w:val="NoSpacing"/>
              <w:rPr>
                <w:b/>
              </w:rPr>
            </w:pPr>
            <w:r>
              <w:t>None specified</w:t>
            </w:r>
          </w:p>
        </w:tc>
      </w:tr>
      <w:tr w:rsidR="00787D45" w14:paraId="780D73E8" w14:textId="77777777" w:rsidTr="0000392A">
        <w:tc>
          <w:tcPr>
            <w:tcW w:w="2177" w:type="dxa"/>
          </w:tcPr>
          <w:p w14:paraId="780D73E6" w14:textId="77777777" w:rsidR="00787D45" w:rsidRPr="00717546" w:rsidRDefault="00787D45" w:rsidP="00AF1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Numerator Exclusions</w:t>
            </w:r>
          </w:p>
        </w:tc>
        <w:tc>
          <w:tcPr>
            <w:tcW w:w="7399" w:type="dxa"/>
          </w:tcPr>
          <w:p w14:paraId="780D73E7" w14:textId="57068FCD" w:rsidR="00787D45" w:rsidRPr="001D6BEA" w:rsidRDefault="002C3B5C" w:rsidP="002F15E3">
            <w:pPr>
              <w:pStyle w:val="NoSpacing"/>
            </w:pPr>
            <w:r>
              <w:t>None specified</w:t>
            </w:r>
          </w:p>
        </w:tc>
      </w:tr>
      <w:tr w:rsidR="00AD706B" w14:paraId="780D73EB" w14:textId="77777777" w:rsidTr="0000392A">
        <w:tc>
          <w:tcPr>
            <w:tcW w:w="2177" w:type="dxa"/>
          </w:tcPr>
          <w:p w14:paraId="780D73E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7399" w:type="dxa"/>
          </w:tcPr>
          <w:p w14:paraId="780D73EA" w14:textId="5583A67F" w:rsidR="00AD706B" w:rsidRDefault="00AD706B" w:rsidP="0077154A">
            <w:pPr>
              <w:pStyle w:val="NoSpacing"/>
            </w:pPr>
            <w:r>
              <w:t>Ambulatory</w:t>
            </w:r>
          </w:p>
        </w:tc>
      </w:tr>
      <w:tr w:rsidR="00AD706B" w14:paraId="780D73EE" w14:textId="77777777" w:rsidTr="0000392A">
        <w:tc>
          <w:tcPr>
            <w:tcW w:w="2177" w:type="dxa"/>
          </w:tcPr>
          <w:p w14:paraId="780D73E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7399" w:type="dxa"/>
          </w:tcPr>
          <w:p w14:paraId="780D73ED" w14:textId="2396A03C" w:rsidR="00AD706B" w:rsidRDefault="00AF3A3D" w:rsidP="00AF3A3D">
            <w:pPr>
              <w:pStyle w:val="NoSpacing"/>
            </w:pPr>
            <w:r>
              <w:t>Adminis</w:t>
            </w:r>
            <w:r w:rsidR="0077154A">
              <w:t>trative/Clinical data sources</w:t>
            </w:r>
            <w:r>
              <w:t xml:space="preserve"> </w:t>
            </w:r>
          </w:p>
        </w:tc>
      </w:tr>
      <w:tr w:rsidR="00987BD0" w14:paraId="780D740D" w14:textId="77777777" w:rsidTr="0000392A">
        <w:tc>
          <w:tcPr>
            <w:tcW w:w="2177" w:type="dxa"/>
          </w:tcPr>
          <w:p w14:paraId="780D73EF" w14:textId="7AAF57AF" w:rsidR="00987BD0" w:rsidRPr="00717546" w:rsidRDefault="00987BD0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399" w:type="dxa"/>
          </w:tcPr>
          <w:p w14:paraId="6CD45F59" w14:textId="77777777" w:rsidR="00987BD0" w:rsidRDefault="00987BD0" w:rsidP="008E6242">
            <w:pPr>
              <w:pStyle w:val="NoSpacing"/>
            </w:pPr>
            <w:r>
              <w:t>All denominator subsets are permissible for this outcome</w:t>
            </w:r>
          </w:p>
          <w:p w14:paraId="780D740C" w14:textId="1B04B670" w:rsidR="00987BD0" w:rsidRDefault="00987BD0" w:rsidP="002C3B5C">
            <w:pPr>
              <w:pStyle w:val="NoSpacing"/>
              <w:ind w:left="720"/>
            </w:pPr>
            <w:r>
              <w:t> </w:t>
            </w:r>
            <w:bookmarkStart w:id="0" w:name="_GoBack"/>
            <w:bookmarkEnd w:id="0"/>
          </w:p>
        </w:tc>
      </w:tr>
    </w:tbl>
    <w:p w14:paraId="780D745C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4D8CD6" w15:done="0"/>
  <w15:commentEx w15:paraId="10BD2724" w15:done="0"/>
  <w15:commentEx w15:paraId="374C14C8" w15:done="0"/>
  <w15:commentEx w15:paraId="237719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D5F52" w14:textId="77777777" w:rsidR="00D739CC" w:rsidRDefault="00D739CC" w:rsidP="00F63191">
      <w:pPr>
        <w:spacing w:after="0" w:line="240" w:lineRule="auto"/>
      </w:pPr>
      <w:r>
        <w:separator/>
      </w:r>
    </w:p>
  </w:endnote>
  <w:endnote w:type="continuationSeparator" w:id="0">
    <w:p w14:paraId="18DDAFF5" w14:textId="77777777" w:rsidR="00D739CC" w:rsidRDefault="00D739CC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03959" w14:textId="0CA1EC01" w:rsidR="007D7618" w:rsidRDefault="007D7618">
    <w:pPr>
      <w:pStyle w:val="Footer"/>
    </w:pPr>
    <w:r>
      <w:t>09/</w:t>
    </w:r>
    <w:r w:rsidR="001B4171">
      <w:t>29</w:t>
    </w:r>
    <w:r>
      <w:t>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0B0EE" w14:textId="77777777" w:rsidR="00D739CC" w:rsidRDefault="00D739CC" w:rsidP="00F63191">
      <w:pPr>
        <w:spacing w:after="0" w:line="240" w:lineRule="auto"/>
      </w:pPr>
      <w:r>
        <w:separator/>
      </w:r>
    </w:p>
  </w:footnote>
  <w:footnote w:type="continuationSeparator" w:id="0">
    <w:p w14:paraId="68774480" w14:textId="77777777" w:rsidR="00D739CC" w:rsidRDefault="00D739CC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706864AC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a Ketchel">
    <w15:presenceInfo w15:providerId="AD" w15:userId="S-1-5-21-565777859-672028841-965413785-11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0392A"/>
    <w:rsid w:val="00053BEB"/>
    <w:rsid w:val="000A2D99"/>
    <w:rsid w:val="000C575F"/>
    <w:rsid w:val="000D1199"/>
    <w:rsid w:val="000D555A"/>
    <w:rsid w:val="000D5A2D"/>
    <w:rsid w:val="000E7EED"/>
    <w:rsid w:val="00100A2F"/>
    <w:rsid w:val="00105B54"/>
    <w:rsid w:val="00107C1A"/>
    <w:rsid w:val="00116208"/>
    <w:rsid w:val="0011709A"/>
    <w:rsid w:val="0014328B"/>
    <w:rsid w:val="00165D76"/>
    <w:rsid w:val="001B4171"/>
    <w:rsid w:val="001C46CD"/>
    <w:rsid w:val="001D6BEA"/>
    <w:rsid w:val="001F1D68"/>
    <w:rsid w:val="002224F0"/>
    <w:rsid w:val="00245754"/>
    <w:rsid w:val="00271E53"/>
    <w:rsid w:val="002845C2"/>
    <w:rsid w:val="002C3B5C"/>
    <w:rsid w:val="002E14AF"/>
    <w:rsid w:val="0032246B"/>
    <w:rsid w:val="003268B7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E7F26"/>
    <w:rsid w:val="004F7B1F"/>
    <w:rsid w:val="00502BE4"/>
    <w:rsid w:val="00506BC5"/>
    <w:rsid w:val="00536799"/>
    <w:rsid w:val="00561D6D"/>
    <w:rsid w:val="005802A0"/>
    <w:rsid w:val="005857E6"/>
    <w:rsid w:val="005B79DD"/>
    <w:rsid w:val="005C70A1"/>
    <w:rsid w:val="005F4D43"/>
    <w:rsid w:val="005F63F3"/>
    <w:rsid w:val="00665EE2"/>
    <w:rsid w:val="0071629B"/>
    <w:rsid w:val="007164C7"/>
    <w:rsid w:val="0072042B"/>
    <w:rsid w:val="00743628"/>
    <w:rsid w:val="00760D27"/>
    <w:rsid w:val="0077154A"/>
    <w:rsid w:val="00787D45"/>
    <w:rsid w:val="007C728B"/>
    <w:rsid w:val="007C7C85"/>
    <w:rsid w:val="007D7618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97531"/>
    <w:rsid w:val="008A5405"/>
    <w:rsid w:val="008D1A8E"/>
    <w:rsid w:val="008F0411"/>
    <w:rsid w:val="008F249E"/>
    <w:rsid w:val="00965A2A"/>
    <w:rsid w:val="00967948"/>
    <w:rsid w:val="00987BD0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A61F1"/>
    <w:rsid w:val="00BC4643"/>
    <w:rsid w:val="00C01E6F"/>
    <w:rsid w:val="00C36D72"/>
    <w:rsid w:val="00C86C48"/>
    <w:rsid w:val="00C9758A"/>
    <w:rsid w:val="00CA2D3E"/>
    <w:rsid w:val="00CA4C08"/>
    <w:rsid w:val="00CC28BC"/>
    <w:rsid w:val="00CD7069"/>
    <w:rsid w:val="00D1777E"/>
    <w:rsid w:val="00D63CD3"/>
    <w:rsid w:val="00D739CC"/>
    <w:rsid w:val="00DB7651"/>
    <w:rsid w:val="00DE660A"/>
    <w:rsid w:val="00E02095"/>
    <w:rsid w:val="00E1692C"/>
    <w:rsid w:val="00E43145"/>
    <w:rsid w:val="00EB6678"/>
    <w:rsid w:val="00EF333D"/>
    <w:rsid w:val="00F05C01"/>
    <w:rsid w:val="00F069C3"/>
    <w:rsid w:val="00F06C5E"/>
    <w:rsid w:val="00F20443"/>
    <w:rsid w:val="00F62A58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cbi.nlm.nih.gov/pmc/articles/PMC2779349/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45EBB0-3935-4CC1-A2EA-5334A673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2014-09-29T13:30:00Z</dcterms:created>
  <dcterms:modified xsi:type="dcterms:W3CDTF">2014-09-29T13:30:00Z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