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D73B2" w14:textId="1077D11E" w:rsidR="00AD706B" w:rsidRDefault="00AD706B" w:rsidP="00AD706B">
      <w:pPr>
        <w:pStyle w:val="Heading1"/>
      </w:pPr>
      <w:r>
        <w:t>IT-</w:t>
      </w:r>
      <w:r w:rsidR="00030250">
        <w:t>12.17</w:t>
      </w:r>
      <w:r>
        <w:t xml:space="preserve">:  </w:t>
      </w:r>
      <w:r w:rsidR="007827B3">
        <w:t>Primary Care Behavioral Counseling to Promote a Healthy Diet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AD706B" w14:paraId="780D73B5" w14:textId="77777777" w:rsidTr="008A5D3F">
        <w:trPr>
          <w:tblHeader/>
        </w:trPr>
        <w:tc>
          <w:tcPr>
            <w:tcW w:w="2718" w:type="dxa"/>
            <w:shd w:val="clear" w:color="auto" w:fill="F2F2F2" w:themeFill="background1" w:themeFillShade="F2"/>
          </w:tcPr>
          <w:p w14:paraId="780D73B3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Measure Title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780D73B4" w14:textId="008FE436" w:rsidR="00AD706B" w:rsidRPr="008779F5" w:rsidRDefault="0068314A" w:rsidP="00B05CB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IT-12.17 </w:t>
            </w:r>
            <w:r w:rsidR="00C140A7" w:rsidRPr="00C140A7">
              <w:rPr>
                <w:b/>
              </w:rPr>
              <w:t>Behavioral Counseling in Primary Care to Promote a Healthy Diet</w:t>
            </w:r>
          </w:p>
        </w:tc>
      </w:tr>
      <w:tr w:rsidR="00AD706B" w14:paraId="780D73B8" w14:textId="77777777" w:rsidTr="008A5D3F">
        <w:tc>
          <w:tcPr>
            <w:tcW w:w="2718" w:type="dxa"/>
          </w:tcPr>
          <w:p w14:paraId="780D73B6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Description</w:t>
            </w:r>
          </w:p>
        </w:tc>
        <w:tc>
          <w:tcPr>
            <w:tcW w:w="6858" w:type="dxa"/>
          </w:tcPr>
          <w:p w14:paraId="780D73B7" w14:textId="4E6A8D84" w:rsidR="00AD706B" w:rsidRDefault="00EE13D4" w:rsidP="00B05CBF">
            <w:pPr>
              <w:pStyle w:val="NoSpacing"/>
            </w:pPr>
            <w:r>
              <w:t>Percentage of adult patients diagnosed with, or with documentation of, risk related to diet-related chronic disease (e.g., diabetes, hypertension, heart disease</w:t>
            </w:r>
            <w:r w:rsidR="00EC63FF">
              <w:t>,</w:t>
            </w:r>
            <w:r>
              <w:t xml:space="preserve"> </w:t>
            </w:r>
            <w:proofErr w:type="gramStart"/>
            <w:r>
              <w:t>hypercholesterolemia</w:t>
            </w:r>
            <w:proofErr w:type="gramEnd"/>
            <w:r>
              <w:t xml:space="preserve">) who received intensive behavioral counseling. </w:t>
            </w:r>
          </w:p>
        </w:tc>
      </w:tr>
      <w:tr w:rsidR="00AD706B" w14:paraId="780D73BB" w14:textId="77777777" w:rsidTr="008A5D3F">
        <w:tc>
          <w:tcPr>
            <w:tcW w:w="2718" w:type="dxa"/>
          </w:tcPr>
          <w:p w14:paraId="780D73B9" w14:textId="610793B3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NQF Number</w:t>
            </w:r>
          </w:p>
        </w:tc>
        <w:tc>
          <w:tcPr>
            <w:tcW w:w="6858" w:type="dxa"/>
          </w:tcPr>
          <w:p w14:paraId="780D73BA" w14:textId="271C7231" w:rsidR="00AD706B" w:rsidRDefault="00100A2F" w:rsidP="00030250">
            <w:pPr>
              <w:pStyle w:val="NoSpacing"/>
            </w:pPr>
            <w:r>
              <w:t>Not applicable</w:t>
            </w:r>
          </w:p>
        </w:tc>
      </w:tr>
      <w:tr w:rsidR="00AD706B" w14:paraId="780D73BE" w14:textId="77777777" w:rsidTr="008A5D3F">
        <w:tc>
          <w:tcPr>
            <w:tcW w:w="2718" w:type="dxa"/>
          </w:tcPr>
          <w:p w14:paraId="780D73BC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Steward</w:t>
            </w:r>
          </w:p>
        </w:tc>
        <w:tc>
          <w:tcPr>
            <w:tcW w:w="6858" w:type="dxa"/>
          </w:tcPr>
          <w:p w14:paraId="780D73BD" w14:textId="31A1C8F2" w:rsidR="00AD706B" w:rsidRPr="00631E85" w:rsidRDefault="0005423A" w:rsidP="007827B3">
            <w:pPr>
              <w:pStyle w:val="NoSpacing"/>
            </w:pPr>
            <w:r>
              <w:t>U.S. Preventive Services Task Force</w:t>
            </w:r>
            <w:r w:rsidR="00030250" w:rsidRPr="00030250">
              <w:t xml:space="preserve"> </w:t>
            </w:r>
          </w:p>
        </w:tc>
      </w:tr>
      <w:tr w:rsidR="00AD706B" w14:paraId="780D73C1" w14:textId="77777777" w:rsidTr="008A5D3F">
        <w:tc>
          <w:tcPr>
            <w:tcW w:w="2718" w:type="dxa"/>
          </w:tcPr>
          <w:p w14:paraId="780D73BF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Link to measure citation</w:t>
            </w:r>
          </w:p>
        </w:tc>
        <w:tc>
          <w:tcPr>
            <w:tcW w:w="6858" w:type="dxa"/>
          </w:tcPr>
          <w:p w14:paraId="780D73C0" w14:textId="33777A8B" w:rsidR="00AD706B" w:rsidRPr="00631E85" w:rsidRDefault="0068314A" w:rsidP="00561D6D">
            <w:pPr>
              <w:pStyle w:val="NoSpacing"/>
            </w:pPr>
            <w:hyperlink r:id="rId12" w:history="1">
              <w:r w:rsidR="007827B3" w:rsidRPr="00D611B5">
                <w:rPr>
                  <w:rStyle w:val="Hyperlink"/>
                </w:rPr>
                <w:t>http://www.uspreventiveservicestaskforce.org/3rduspstf/diet/dietrr.htm</w:t>
              </w:r>
            </w:hyperlink>
            <w:r w:rsidR="007827B3">
              <w:t xml:space="preserve"> </w:t>
            </w:r>
          </w:p>
        </w:tc>
      </w:tr>
      <w:tr w:rsidR="00AD706B" w14:paraId="780D73C4" w14:textId="77777777" w:rsidTr="008A5D3F">
        <w:tc>
          <w:tcPr>
            <w:tcW w:w="2718" w:type="dxa"/>
          </w:tcPr>
          <w:p w14:paraId="780D73C2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type</w:t>
            </w:r>
          </w:p>
        </w:tc>
        <w:tc>
          <w:tcPr>
            <w:tcW w:w="6858" w:type="dxa"/>
          </w:tcPr>
          <w:p w14:paraId="780D73C3" w14:textId="45B0B84F" w:rsidR="00AD706B" w:rsidRDefault="00165D76" w:rsidP="00C140A7">
            <w:pPr>
              <w:pStyle w:val="NoSpacing"/>
            </w:pPr>
            <w:r>
              <w:t>Non Stand-A</w:t>
            </w:r>
            <w:r w:rsidR="00AD706B">
              <w:t>lone</w:t>
            </w:r>
            <w:r>
              <w:t xml:space="preserve"> (NSA)</w:t>
            </w:r>
          </w:p>
        </w:tc>
      </w:tr>
      <w:tr w:rsidR="0068314A" w14:paraId="780D73C7" w14:textId="77777777" w:rsidTr="008A5D3F">
        <w:tc>
          <w:tcPr>
            <w:tcW w:w="2718" w:type="dxa"/>
          </w:tcPr>
          <w:p w14:paraId="780D73C5" w14:textId="7556895F" w:rsidR="0068314A" w:rsidRDefault="0068314A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Performance and Achievement Type</w:t>
            </w:r>
          </w:p>
        </w:tc>
        <w:tc>
          <w:tcPr>
            <w:tcW w:w="6858" w:type="dxa"/>
          </w:tcPr>
          <w:p w14:paraId="780D73C6" w14:textId="13E10816" w:rsidR="0068314A" w:rsidRDefault="0068314A" w:rsidP="00C140A7">
            <w:pPr>
              <w:pStyle w:val="NoSpacing"/>
            </w:pPr>
            <w:r>
              <w:t>Pay-for-Reporting: Prior Authorization</w:t>
            </w:r>
            <w:bookmarkStart w:id="0" w:name="_GoBack"/>
            <w:bookmarkEnd w:id="0"/>
          </w:p>
        </w:tc>
      </w:tr>
      <w:tr w:rsidR="00AD706B" w14:paraId="780D73D0" w14:textId="77777777" w:rsidTr="008A5D3F">
        <w:tc>
          <w:tcPr>
            <w:tcW w:w="2718" w:type="dxa"/>
          </w:tcPr>
          <w:p w14:paraId="780D73C8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DSRIP-specific modifications to Measure Steward’s specification</w:t>
            </w:r>
          </w:p>
        </w:tc>
        <w:tc>
          <w:tcPr>
            <w:tcW w:w="6858" w:type="dxa"/>
          </w:tcPr>
          <w:p w14:paraId="780D73CF" w14:textId="5B41366B" w:rsidR="009F78A7" w:rsidRDefault="00C140A7" w:rsidP="00C140A7">
            <w:pPr>
              <w:pStyle w:val="NoSpacing"/>
            </w:pPr>
            <w:r>
              <w:t>None</w:t>
            </w:r>
          </w:p>
        </w:tc>
      </w:tr>
      <w:tr w:rsidR="00AD706B" w14:paraId="780D73D3" w14:textId="77777777" w:rsidTr="008A5D3F">
        <w:tc>
          <w:tcPr>
            <w:tcW w:w="2718" w:type="dxa"/>
          </w:tcPr>
          <w:p w14:paraId="780D73D1" w14:textId="77777777" w:rsidR="00AD706B" w:rsidRPr="00717546" w:rsidRDefault="00AD706B" w:rsidP="001D6BEA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Denominator</w:t>
            </w:r>
            <w:r w:rsidR="00C01E6F">
              <w:rPr>
                <w:b/>
              </w:rPr>
              <w:t xml:space="preserve"> </w:t>
            </w:r>
            <w:r w:rsidR="00B05CBF">
              <w:rPr>
                <w:b/>
              </w:rPr>
              <w:t>Description</w:t>
            </w:r>
            <w:r w:rsidR="00C01E6F">
              <w:rPr>
                <w:b/>
              </w:rPr>
              <w:t xml:space="preserve"> </w:t>
            </w:r>
          </w:p>
        </w:tc>
        <w:tc>
          <w:tcPr>
            <w:tcW w:w="6858" w:type="dxa"/>
          </w:tcPr>
          <w:p w14:paraId="780D73D2" w14:textId="332D1340" w:rsidR="00AD706B" w:rsidRPr="009F7E66" w:rsidRDefault="0048375A" w:rsidP="00C140A7">
            <w:pPr>
              <w:pStyle w:val="NoSpacing"/>
            </w:pPr>
            <w:r>
              <w:t>Adult p</w:t>
            </w:r>
            <w:r w:rsidR="00C140A7" w:rsidRPr="00C140A7">
              <w:t>atients diagnosed with</w:t>
            </w:r>
            <w:r w:rsidR="00EE13D4">
              <w:t>,</w:t>
            </w:r>
            <w:r w:rsidR="00C140A7" w:rsidRPr="00C140A7">
              <w:t xml:space="preserve"> or </w:t>
            </w:r>
            <w:r w:rsidR="00EE13D4">
              <w:t xml:space="preserve">with </w:t>
            </w:r>
            <w:r w:rsidR="00C140A7" w:rsidRPr="00C140A7">
              <w:t>documentation of</w:t>
            </w:r>
            <w:r w:rsidR="00EE13D4">
              <w:t>,</w:t>
            </w:r>
            <w:r w:rsidR="00C140A7" w:rsidRPr="00C140A7">
              <w:t xml:space="preserve"> risk related to diet </w:t>
            </w:r>
            <w:r w:rsidR="00C140A7">
              <w:t>related chronic disease such as</w:t>
            </w:r>
            <w:r w:rsidR="00C140A7" w:rsidRPr="00C140A7">
              <w:t xml:space="preserve"> diabetes, hypertension, heart disease, and hypercholesterolemia.</w:t>
            </w:r>
          </w:p>
        </w:tc>
      </w:tr>
      <w:tr w:rsidR="00787D45" w14:paraId="780D73D6" w14:textId="77777777" w:rsidTr="008A5D3F">
        <w:trPr>
          <w:trHeight w:val="728"/>
        </w:trPr>
        <w:tc>
          <w:tcPr>
            <w:tcW w:w="2718" w:type="dxa"/>
          </w:tcPr>
          <w:p w14:paraId="780D73D4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Inclusions</w:t>
            </w:r>
          </w:p>
        </w:tc>
        <w:tc>
          <w:tcPr>
            <w:tcW w:w="6858" w:type="dxa"/>
          </w:tcPr>
          <w:p w14:paraId="780D73D5" w14:textId="4491D707" w:rsidR="00787D45" w:rsidRPr="0012650D" w:rsidRDefault="00787D45" w:rsidP="002F15E3">
            <w:pPr>
              <w:pStyle w:val="NoSpacing"/>
              <w:rPr>
                <w:b/>
              </w:rPr>
            </w:pPr>
            <w:r>
              <w:t>The Measure Steward does not identify specific denominator inclusions beyond what is described i</w:t>
            </w:r>
            <w:r w:rsidR="00C140A7">
              <w:t>n the denominator description.</w:t>
            </w:r>
          </w:p>
        </w:tc>
      </w:tr>
      <w:tr w:rsidR="00787D45" w14:paraId="780D73D9" w14:textId="77777777" w:rsidTr="008A5D3F">
        <w:trPr>
          <w:trHeight w:val="710"/>
        </w:trPr>
        <w:tc>
          <w:tcPr>
            <w:tcW w:w="2718" w:type="dxa"/>
          </w:tcPr>
          <w:p w14:paraId="780D73D7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Exclusions</w:t>
            </w:r>
          </w:p>
        </w:tc>
        <w:tc>
          <w:tcPr>
            <w:tcW w:w="6858" w:type="dxa"/>
          </w:tcPr>
          <w:p w14:paraId="780D73D8" w14:textId="74770621" w:rsidR="00787D45" w:rsidRPr="001D6BEA" w:rsidRDefault="00787D45" w:rsidP="002F15E3">
            <w:pPr>
              <w:pStyle w:val="NoSpacing"/>
            </w:pPr>
            <w:r>
              <w:t>The Measure Steward does not identify specific denominator exclusions beyond what is described i</w:t>
            </w:r>
            <w:r w:rsidR="00C140A7">
              <w:t>n the denominator description.</w:t>
            </w:r>
          </w:p>
        </w:tc>
      </w:tr>
      <w:tr w:rsidR="00D63CD3" w14:paraId="780D73DF" w14:textId="77777777" w:rsidTr="008A5D3F">
        <w:tc>
          <w:tcPr>
            <w:tcW w:w="2718" w:type="dxa"/>
          </w:tcPr>
          <w:p w14:paraId="780D73DA" w14:textId="77777777" w:rsidR="00D63CD3" w:rsidRDefault="00D63CD3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Denominator Size</w:t>
            </w:r>
          </w:p>
        </w:tc>
        <w:tc>
          <w:tcPr>
            <w:tcW w:w="6858" w:type="dxa"/>
          </w:tcPr>
          <w:p w14:paraId="780D73DB" w14:textId="77777777" w:rsidR="00D63CD3" w:rsidRDefault="00D63CD3" w:rsidP="00D63CD3">
            <w:pPr>
              <w:pStyle w:val="NoSpacing"/>
            </w:pPr>
            <w:r>
              <w:t>Providers</w:t>
            </w:r>
            <w:r w:rsidRPr="00D63CD3">
              <w:t xml:space="preserve"> must report a </w:t>
            </w:r>
            <w:r w:rsidR="0011709A">
              <w:t>minimum of 3</w:t>
            </w:r>
            <w:r w:rsidR="0032246B">
              <w:t xml:space="preserve">0 cases per measure during a </w:t>
            </w:r>
            <w:r w:rsidR="0011709A">
              <w:t>12-month measurement period (15 cases for a 6-month measurement period)</w:t>
            </w:r>
          </w:p>
          <w:p w14:paraId="780D73DC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>denominator size is less than or equal to 75, providers must report on all cases. No sampling is allowed.</w:t>
            </w:r>
          </w:p>
          <w:p w14:paraId="780D73DD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 xml:space="preserve">denominator size is less than or equal to 380 but greater than 75, providers must report on </w:t>
            </w:r>
            <w:r w:rsidR="003A409E">
              <w:t xml:space="preserve">all cases (preferred, particularly for providers using an electronic health record) or </w:t>
            </w:r>
            <w:r>
              <w:t>a random sample of not less than 76 cases.</w:t>
            </w:r>
          </w:p>
          <w:p w14:paraId="780D73DE" w14:textId="77777777" w:rsidR="0032246B" w:rsidRPr="001D6BEA" w:rsidRDefault="0032246B" w:rsidP="00561D6D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11709A">
              <w:t>(either 6 or 12-months) where the denominator size</w:t>
            </w:r>
            <w:r>
              <w:t xml:space="preserve"> is greater than </w:t>
            </w:r>
            <w:r w:rsidR="00561D6D">
              <w:t>380</w:t>
            </w:r>
            <w:r>
              <w:t xml:space="preserve">, providers must report on </w:t>
            </w:r>
            <w:r w:rsidR="003A409E">
              <w:t xml:space="preserve">all cases (preferred, particularly for providers using an electronic health record) or </w:t>
            </w:r>
            <w:r>
              <w:t xml:space="preserve">a random sample of cases that is not less than 20% of all cases; however, providers may cap the </w:t>
            </w:r>
            <w:r w:rsidR="0011709A">
              <w:t xml:space="preserve">total </w:t>
            </w:r>
            <w:r>
              <w:t xml:space="preserve">sample size at 300 cases. </w:t>
            </w:r>
          </w:p>
        </w:tc>
      </w:tr>
      <w:tr w:rsidR="00AC3A97" w14:paraId="780D73E2" w14:textId="77777777" w:rsidTr="008A5D3F">
        <w:tc>
          <w:tcPr>
            <w:tcW w:w="2718" w:type="dxa"/>
          </w:tcPr>
          <w:p w14:paraId="780D73E0" w14:textId="77777777"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Numerator Description </w:t>
            </w:r>
          </w:p>
        </w:tc>
        <w:tc>
          <w:tcPr>
            <w:tcW w:w="6858" w:type="dxa"/>
          </w:tcPr>
          <w:p w14:paraId="0EE4E489" w14:textId="4F7E0D05" w:rsidR="00C140A7" w:rsidRDefault="00C140A7" w:rsidP="00C140A7">
            <w:pPr>
              <w:pStyle w:val="NoSpacing"/>
            </w:pPr>
            <w:r>
              <w:t xml:space="preserve">Number of </w:t>
            </w:r>
            <w:r w:rsidR="0048375A">
              <w:t xml:space="preserve">adult </w:t>
            </w:r>
            <w:r>
              <w:t xml:space="preserve">patients receiving intensive behavioral counseling including documentation of the following:            </w:t>
            </w:r>
          </w:p>
          <w:p w14:paraId="0E91980E" w14:textId="77777777" w:rsidR="00C140A7" w:rsidRDefault="00C140A7" w:rsidP="00C140A7">
            <w:pPr>
              <w:pStyle w:val="NoSpacing"/>
              <w:numPr>
                <w:ilvl w:val="0"/>
                <w:numId w:val="13"/>
              </w:numPr>
            </w:pPr>
            <w:r>
              <w:t xml:space="preserve">Assess dietary practices and related risk factors.                                                                                                                                 </w:t>
            </w:r>
          </w:p>
          <w:p w14:paraId="17B62ADD" w14:textId="77777777" w:rsidR="00C140A7" w:rsidRDefault="00C140A7" w:rsidP="00C140A7">
            <w:pPr>
              <w:pStyle w:val="NoSpacing"/>
              <w:numPr>
                <w:ilvl w:val="0"/>
                <w:numId w:val="13"/>
              </w:numPr>
            </w:pPr>
            <w:r>
              <w:t>Advise to change dietary practices.</w:t>
            </w:r>
          </w:p>
          <w:p w14:paraId="23BC839A" w14:textId="018101AD" w:rsidR="00C140A7" w:rsidRDefault="00C140A7" w:rsidP="00C140A7">
            <w:pPr>
              <w:pStyle w:val="NoSpacing"/>
              <w:numPr>
                <w:ilvl w:val="0"/>
                <w:numId w:val="13"/>
              </w:numPr>
            </w:pPr>
            <w:r>
              <w:lastRenderedPageBreak/>
              <w:t>Agree on individual diet change goals.</w:t>
            </w:r>
          </w:p>
          <w:p w14:paraId="4E8BC6DF" w14:textId="77777777" w:rsidR="00C140A7" w:rsidRDefault="00C140A7" w:rsidP="00C140A7">
            <w:pPr>
              <w:pStyle w:val="NoSpacing"/>
              <w:numPr>
                <w:ilvl w:val="0"/>
                <w:numId w:val="13"/>
              </w:numPr>
            </w:pPr>
            <w:r>
              <w:t>Assist to change dietary practices or address motivational barriers.</w:t>
            </w:r>
          </w:p>
          <w:p w14:paraId="7E3A3A2C" w14:textId="635943A2" w:rsidR="00C140A7" w:rsidRDefault="00C140A7" w:rsidP="00C140A7">
            <w:pPr>
              <w:pStyle w:val="NoSpacing"/>
              <w:numPr>
                <w:ilvl w:val="0"/>
                <w:numId w:val="13"/>
              </w:numPr>
            </w:pPr>
            <w:r>
              <w:t xml:space="preserve">Arrange regular follow-up and support or refer to more intensive behavioral nutritional counseling (e.g., medical nutrition therapy) if needed.       </w:t>
            </w:r>
          </w:p>
          <w:p w14:paraId="371DF2D7" w14:textId="77777777" w:rsidR="00C140A7" w:rsidRDefault="00C140A7" w:rsidP="00C140A7">
            <w:pPr>
              <w:pStyle w:val="NoSpacing"/>
            </w:pPr>
          </w:p>
          <w:p w14:paraId="249BDB34" w14:textId="77777777" w:rsidR="00C140A7" w:rsidRDefault="00C140A7" w:rsidP="00C140A7">
            <w:pPr>
              <w:pStyle w:val="NoSpacing"/>
            </w:pPr>
            <w:r>
              <w:t>Either of the two following approaches will qualify for behavioral counseling:</w:t>
            </w:r>
          </w:p>
          <w:p w14:paraId="76AAA775" w14:textId="77777777" w:rsidR="00C140A7" w:rsidRDefault="00C140A7" w:rsidP="00C140A7">
            <w:pPr>
              <w:pStyle w:val="NoSpacing"/>
              <w:numPr>
                <w:ilvl w:val="0"/>
                <w:numId w:val="15"/>
              </w:numPr>
            </w:pPr>
            <w:r>
              <w:t>Medium-intensity face-to-face dietary counseling (two to three group or individual sessions) delivered by a dietitian or nutritionist or by a specially trained primary care physician or nurse practitioner.</w:t>
            </w:r>
          </w:p>
          <w:p w14:paraId="780D73E1" w14:textId="41248827" w:rsidR="00AC3A97" w:rsidRPr="009F7E66" w:rsidRDefault="00C140A7" w:rsidP="00C140A7">
            <w:pPr>
              <w:pStyle w:val="NoSpacing"/>
              <w:numPr>
                <w:ilvl w:val="0"/>
                <w:numId w:val="15"/>
              </w:numPr>
            </w:pPr>
            <w:r>
              <w:t>Lower-intensity interventions that involve 5 minutes or less of primary care provider counseling supplemented by patient self-help materials, telephone counseling, or other interactive health communications.</w:t>
            </w:r>
          </w:p>
        </w:tc>
      </w:tr>
      <w:tr w:rsidR="00787D45" w14:paraId="780D73E5" w14:textId="77777777" w:rsidTr="008A5D3F">
        <w:tc>
          <w:tcPr>
            <w:tcW w:w="2718" w:type="dxa"/>
          </w:tcPr>
          <w:p w14:paraId="780D73E3" w14:textId="0A3515C3" w:rsidR="00787D45" w:rsidRPr="00717546" w:rsidRDefault="00787D45" w:rsidP="00AF103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Numerator Inclusions</w:t>
            </w:r>
          </w:p>
        </w:tc>
        <w:tc>
          <w:tcPr>
            <w:tcW w:w="6858" w:type="dxa"/>
          </w:tcPr>
          <w:p w14:paraId="780D73E4" w14:textId="20A929B9" w:rsidR="00787D45" w:rsidRPr="0012650D" w:rsidRDefault="00787D45" w:rsidP="002F15E3">
            <w:pPr>
              <w:pStyle w:val="NoSpacing"/>
              <w:rPr>
                <w:b/>
              </w:rPr>
            </w:pPr>
            <w:r>
              <w:t>The Measure Steward does not identify specific numerator inclusions beyond what is described</w:t>
            </w:r>
            <w:r w:rsidR="00C140A7">
              <w:t xml:space="preserve"> in the numerator description.</w:t>
            </w:r>
          </w:p>
        </w:tc>
      </w:tr>
      <w:tr w:rsidR="00787D45" w14:paraId="780D73E8" w14:textId="77777777" w:rsidTr="008A5D3F">
        <w:tc>
          <w:tcPr>
            <w:tcW w:w="2718" w:type="dxa"/>
          </w:tcPr>
          <w:p w14:paraId="780D73E6" w14:textId="77777777" w:rsidR="00787D45" w:rsidRPr="00717546" w:rsidRDefault="00787D45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Exclusions</w:t>
            </w:r>
          </w:p>
        </w:tc>
        <w:tc>
          <w:tcPr>
            <w:tcW w:w="6858" w:type="dxa"/>
          </w:tcPr>
          <w:p w14:paraId="780D73E7" w14:textId="66BB568A" w:rsidR="00787D45" w:rsidRPr="001D6BEA" w:rsidRDefault="00787D45" w:rsidP="002F15E3">
            <w:pPr>
              <w:pStyle w:val="NoSpacing"/>
            </w:pPr>
            <w:r>
              <w:t>The Measure Steward does not identify specific numerator exclusions beyond what is described</w:t>
            </w:r>
            <w:r w:rsidR="00C140A7">
              <w:t xml:space="preserve"> in the numerator description.</w:t>
            </w:r>
          </w:p>
        </w:tc>
      </w:tr>
      <w:tr w:rsidR="00AD706B" w14:paraId="780D73EB" w14:textId="77777777" w:rsidTr="008A5D3F">
        <w:tc>
          <w:tcPr>
            <w:tcW w:w="2718" w:type="dxa"/>
          </w:tcPr>
          <w:p w14:paraId="780D73E9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6858" w:type="dxa"/>
          </w:tcPr>
          <w:p w14:paraId="780D73EA" w14:textId="4BAE43AB" w:rsidR="00AD706B" w:rsidRDefault="00AD706B" w:rsidP="00C140A7">
            <w:pPr>
              <w:pStyle w:val="NoSpacing"/>
            </w:pPr>
            <w:r>
              <w:t>Ambulatory</w:t>
            </w:r>
          </w:p>
        </w:tc>
      </w:tr>
      <w:tr w:rsidR="00AD706B" w14:paraId="780D73EE" w14:textId="77777777" w:rsidTr="008A5D3F">
        <w:tc>
          <w:tcPr>
            <w:tcW w:w="2718" w:type="dxa"/>
          </w:tcPr>
          <w:p w14:paraId="780D73EC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6858" w:type="dxa"/>
          </w:tcPr>
          <w:p w14:paraId="780D73ED" w14:textId="7DA0BD2F" w:rsidR="00AD706B" w:rsidRDefault="00AF3A3D" w:rsidP="007827B3">
            <w:pPr>
              <w:pStyle w:val="NoSpacing"/>
            </w:pPr>
            <w:r>
              <w:t>Administ</w:t>
            </w:r>
            <w:r w:rsidR="00C140A7">
              <w:t>rative/Clinical data sources</w:t>
            </w:r>
            <w:r w:rsidR="007827B3">
              <w:t>;</w:t>
            </w:r>
            <w:r w:rsidR="007827B3" w:rsidRPr="007827B3">
              <w:t xml:space="preserve"> Supplemental data sources</w:t>
            </w:r>
          </w:p>
        </w:tc>
      </w:tr>
      <w:tr w:rsidR="0068314A" w14:paraId="780D740D" w14:textId="77777777" w:rsidTr="008A5D3F">
        <w:tc>
          <w:tcPr>
            <w:tcW w:w="2718" w:type="dxa"/>
          </w:tcPr>
          <w:p w14:paraId="780D73EF" w14:textId="3AFFF029" w:rsidR="0068314A" w:rsidRPr="00717546" w:rsidRDefault="0068314A" w:rsidP="00F05C01">
            <w:pPr>
              <w:pStyle w:val="NoSpacing"/>
              <w:rPr>
                <w:b/>
              </w:rPr>
            </w:pPr>
            <w:r>
              <w:rPr>
                <w:b/>
              </w:rPr>
              <w:t>Allowable Denominator Sub-sets</w:t>
            </w:r>
          </w:p>
        </w:tc>
        <w:tc>
          <w:tcPr>
            <w:tcW w:w="6858" w:type="dxa"/>
          </w:tcPr>
          <w:p w14:paraId="786E2539" w14:textId="77777777" w:rsidR="0068314A" w:rsidRDefault="0068314A" w:rsidP="008E6242">
            <w:pPr>
              <w:pStyle w:val="NoSpacing"/>
            </w:pPr>
            <w:r>
              <w:t>All denominator subsets are permissible for this outcome</w:t>
            </w:r>
          </w:p>
          <w:p w14:paraId="780D740C" w14:textId="0129FD56" w:rsidR="0068314A" w:rsidRDefault="0068314A" w:rsidP="007F7C07">
            <w:pPr>
              <w:pStyle w:val="NoSpacing"/>
            </w:pPr>
            <w:r>
              <w:t> </w:t>
            </w:r>
          </w:p>
        </w:tc>
      </w:tr>
    </w:tbl>
    <w:p w14:paraId="780D745C" w14:textId="77777777" w:rsidR="00356CF4" w:rsidRPr="008F249E" w:rsidRDefault="00356CF4" w:rsidP="007C7C85">
      <w:pPr>
        <w:pStyle w:val="Heading2"/>
      </w:pPr>
    </w:p>
    <w:sectPr w:rsidR="00356CF4" w:rsidRPr="008F249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087A47" w15:done="0"/>
  <w15:commentEx w15:paraId="6D23107F" w15:done="0"/>
  <w15:commentEx w15:paraId="00E26B04" w15:done="0"/>
  <w15:commentEx w15:paraId="0E71A5E8" w15:done="0"/>
  <w15:commentEx w15:paraId="0D8B1CD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AED47" w14:textId="77777777" w:rsidR="00DD4D44" w:rsidRDefault="00DD4D44" w:rsidP="00F63191">
      <w:pPr>
        <w:spacing w:after="0" w:line="240" w:lineRule="auto"/>
      </w:pPr>
      <w:r>
        <w:separator/>
      </w:r>
    </w:p>
  </w:endnote>
  <w:endnote w:type="continuationSeparator" w:id="0">
    <w:p w14:paraId="07417C9B" w14:textId="77777777" w:rsidR="00DD4D44" w:rsidRDefault="00DD4D44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E5171" w14:textId="45D63A77" w:rsidR="00A051CF" w:rsidRDefault="00A051CF">
    <w:pPr>
      <w:pStyle w:val="Footer"/>
    </w:pPr>
    <w:r>
      <w:t>09/</w:t>
    </w:r>
    <w:r w:rsidR="00E21EEA">
      <w:t>29</w:t>
    </w:r>
    <w:r>
      <w:t>/14</w:t>
    </w:r>
  </w:p>
  <w:p w14:paraId="780D7463" w14:textId="77777777" w:rsidR="002E14AF" w:rsidRDefault="002E1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92246" w14:textId="77777777" w:rsidR="00DD4D44" w:rsidRDefault="00DD4D44" w:rsidP="00F63191">
      <w:pPr>
        <w:spacing w:after="0" w:line="240" w:lineRule="auto"/>
      </w:pPr>
      <w:r>
        <w:separator/>
      </w:r>
    </w:p>
  </w:footnote>
  <w:footnote w:type="continuationSeparator" w:id="0">
    <w:p w14:paraId="26083291" w14:textId="77777777" w:rsidR="00DD4D44" w:rsidRDefault="00DD4D44" w:rsidP="00F6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D7461" w14:textId="507B5774" w:rsidR="008F0411" w:rsidRDefault="008F0411" w:rsidP="008F0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7495C"/>
    <w:multiLevelType w:val="hybridMultilevel"/>
    <w:tmpl w:val="13528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C7898"/>
    <w:multiLevelType w:val="hybridMultilevel"/>
    <w:tmpl w:val="22F0A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E5AC1"/>
    <w:multiLevelType w:val="hybridMultilevel"/>
    <w:tmpl w:val="8A2AF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D14B6"/>
    <w:multiLevelType w:val="hybridMultilevel"/>
    <w:tmpl w:val="807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EA78C6"/>
    <w:multiLevelType w:val="hybridMultilevel"/>
    <w:tmpl w:val="468A9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8"/>
  </w:num>
  <w:num w:numId="7">
    <w:abstractNumId w:val="14"/>
  </w:num>
  <w:num w:numId="8">
    <w:abstractNumId w:val="9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13"/>
  </w:num>
  <w:num w:numId="15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a Ketchel">
    <w15:presenceInfo w15:providerId="AD" w15:userId="S-1-5-21-565777859-672028841-965413785-118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30250"/>
    <w:rsid w:val="0005423A"/>
    <w:rsid w:val="000A2D99"/>
    <w:rsid w:val="000C575F"/>
    <w:rsid w:val="000D1199"/>
    <w:rsid w:val="000D5A2D"/>
    <w:rsid w:val="000E7EED"/>
    <w:rsid w:val="00100A2F"/>
    <w:rsid w:val="00107C1A"/>
    <w:rsid w:val="00116208"/>
    <w:rsid w:val="0011709A"/>
    <w:rsid w:val="00165D76"/>
    <w:rsid w:val="001D6BEA"/>
    <w:rsid w:val="002224F0"/>
    <w:rsid w:val="00245754"/>
    <w:rsid w:val="00271E53"/>
    <w:rsid w:val="002845C2"/>
    <w:rsid w:val="002E14AF"/>
    <w:rsid w:val="0032246B"/>
    <w:rsid w:val="003268B7"/>
    <w:rsid w:val="00346B8D"/>
    <w:rsid w:val="00356CF4"/>
    <w:rsid w:val="00366D0B"/>
    <w:rsid w:val="00375652"/>
    <w:rsid w:val="00383516"/>
    <w:rsid w:val="003844DB"/>
    <w:rsid w:val="003A409E"/>
    <w:rsid w:val="003F3546"/>
    <w:rsid w:val="003F4E8D"/>
    <w:rsid w:val="00416E44"/>
    <w:rsid w:val="0048375A"/>
    <w:rsid w:val="004E7F26"/>
    <w:rsid w:val="00502BE4"/>
    <w:rsid w:val="00506BC5"/>
    <w:rsid w:val="00536799"/>
    <w:rsid w:val="00561D6D"/>
    <w:rsid w:val="005802A0"/>
    <w:rsid w:val="005857E6"/>
    <w:rsid w:val="005B79DD"/>
    <w:rsid w:val="005C70A1"/>
    <w:rsid w:val="005F4D43"/>
    <w:rsid w:val="0068314A"/>
    <w:rsid w:val="0071629B"/>
    <w:rsid w:val="007164C7"/>
    <w:rsid w:val="00743628"/>
    <w:rsid w:val="00760D27"/>
    <w:rsid w:val="007827B3"/>
    <w:rsid w:val="00787D45"/>
    <w:rsid w:val="007C728B"/>
    <w:rsid w:val="007C7C85"/>
    <w:rsid w:val="007E0395"/>
    <w:rsid w:val="007F675B"/>
    <w:rsid w:val="007F7C07"/>
    <w:rsid w:val="00823868"/>
    <w:rsid w:val="00827557"/>
    <w:rsid w:val="008722BB"/>
    <w:rsid w:val="00874FAA"/>
    <w:rsid w:val="008779F5"/>
    <w:rsid w:val="0088642E"/>
    <w:rsid w:val="00886E0E"/>
    <w:rsid w:val="008A5405"/>
    <w:rsid w:val="008A5D3F"/>
    <w:rsid w:val="008D1A8E"/>
    <w:rsid w:val="008F0411"/>
    <w:rsid w:val="008F249E"/>
    <w:rsid w:val="00965A2A"/>
    <w:rsid w:val="00967948"/>
    <w:rsid w:val="00994A41"/>
    <w:rsid w:val="00996DD5"/>
    <w:rsid w:val="009A7508"/>
    <w:rsid w:val="009C6EA3"/>
    <w:rsid w:val="009F04D0"/>
    <w:rsid w:val="009F78A7"/>
    <w:rsid w:val="009F7E66"/>
    <w:rsid w:val="00A051CF"/>
    <w:rsid w:val="00A11BD9"/>
    <w:rsid w:val="00A82574"/>
    <w:rsid w:val="00AA0CA2"/>
    <w:rsid w:val="00AC3A97"/>
    <w:rsid w:val="00AD706B"/>
    <w:rsid w:val="00AF3A3D"/>
    <w:rsid w:val="00B05CBF"/>
    <w:rsid w:val="00B20462"/>
    <w:rsid w:val="00B546CF"/>
    <w:rsid w:val="00B65D92"/>
    <w:rsid w:val="00B7257A"/>
    <w:rsid w:val="00BA61F1"/>
    <w:rsid w:val="00BC4643"/>
    <w:rsid w:val="00BD0DBF"/>
    <w:rsid w:val="00C01E6F"/>
    <w:rsid w:val="00C140A7"/>
    <w:rsid w:val="00C36D72"/>
    <w:rsid w:val="00C86C48"/>
    <w:rsid w:val="00C9758A"/>
    <w:rsid w:val="00CA2D3E"/>
    <w:rsid w:val="00CA4C08"/>
    <w:rsid w:val="00CB1E78"/>
    <w:rsid w:val="00CC28BC"/>
    <w:rsid w:val="00CD7069"/>
    <w:rsid w:val="00D1777E"/>
    <w:rsid w:val="00D63CD3"/>
    <w:rsid w:val="00DB7651"/>
    <w:rsid w:val="00DD4D44"/>
    <w:rsid w:val="00DE660A"/>
    <w:rsid w:val="00DE6CB2"/>
    <w:rsid w:val="00E1692C"/>
    <w:rsid w:val="00E21EEA"/>
    <w:rsid w:val="00E43145"/>
    <w:rsid w:val="00EB6678"/>
    <w:rsid w:val="00EC63FF"/>
    <w:rsid w:val="00EE13D4"/>
    <w:rsid w:val="00EF333D"/>
    <w:rsid w:val="00F05C01"/>
    <w:rsid w:val="00F069C3"/>
    <w:rsid w:val="00F06C5E"/>
    <w:rsid w:val="00F20443"/>
    <w:rsid w:val="00F63191"/>
    <w:rsid w:val="00F64CD1"/>
    <w:rsid w:val="00F9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D7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character" w:styleId="FollowedHyperlink">
    <w:name w:val="FollowedHyperlink"/>
    <w:basedOn w:val="DefaultParagraphFont"/>
    <w:uiPriority w:val="99"/>
    <w:semiHidden/>
    <w:unhideWhenUsed/>
    <w:rsid w:val="007827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character" w:styleId="FollowedHyperlink">
    <w:name w:val="FollowedHyperlink"/>
    <w:basedOn w:val="DefaultParagraphFont"/>
    <w:uiPriority w:val="99"/>
    <w:semiHidden/>
    <w:unhideWhenUsed/>
    <w:rsid w:val="007827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uspreventiveservicestaskforce.org/3rduspstf/diet/dietrr.htm" TargetMode="Externa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A798-272A-4EC7-85BB-DFB1824B2600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308BC5E-6DF3-471D-956D-A5DFD88A7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75D97F-0731-4ECF-84A5-B404AD898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4D643F-7567-4488-8A32-B7B4C238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Windows User</cp:lastModifiedBy>
  <cp:revision>2</cp:revision>
  <dcterms:created xsi:type="dcterms:W3CDTF">2014-09-29T13:30:00Z</dcterms:created>
  <dcterms:modified xsi:type="dcterms:W3CDTF">2014-09-29T13:30:00Z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