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21E2EB6A" w:rsidR="00AD706B" w:rsidRDefault="00AD706B" w:rsidP="00AD706B">
      <w:pPr>
        <w:pStyle w:val="Heading1"/>
      </w:pPr>
      <w:bookmarkStart w:id="0" w:name="_GoBack"/>
      <w:bookmarkEnd w:id="0"/>
      <w:r>
        <w:t>IT-</w:t>
      </w:r>
      <w:r w:rsidR="00847631">
        <w:t>12.16</w:t>
      </w:r>
      <w:r>
        <w:t xml:space="preserve">:  </w:t>
      </w:r>
      <w:r w:rsidR="005C7D98">
        <w:t xml:space="preserve">Rate of </w:t>
      </w:r>
      <w:r w:rsidR="00847631" w:rsidRPr="00847631">
        <w:t>High-</w:t>
      </w:r>
      <w:r w:rsidR="005C7D98">
        <w:t>R</w:t>
      </w:r>
      <w:r w:rsidR="00847631" w:rsidRPr="00847631">
        <w:t>i</w:t>
      </w:r>
      <w:r w:rsidR="00847631">
        <w:t xml:space="preserve">sk Colorectal Cancer Follow-up </w:t>
      </w:r>
      <w:proofErr w:type="gramStart"/>
      <w:r w:rsidR="00847631">
        <w:t>Within</w:t>
      </w:r>
      <w:proofErr w:type="gramEnd"/>
      <w:r w:rsidR="00847631">
        <w:t xml:space="preserve"> One Y</w:t>
      </w:r>
      <w:r w:rsidR="00847631" w:rsidRPr="00847631">
        <w:t>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D706B" w14:paraId="780D73B5" w14:textId="77777777" w:rsidTr="0071629B">
        <w:trPr>
          <w:tblHeader/>
        </w:trPr>
        <w:tc>
          <w:tcPr>
            <w:tcW w:w="253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14:paraId="780D73B4" w14:textId="0A24C5CC" w:rsidR="00AD706B" w:rsidRPr="008779F5" w:rsidRDefault="00654BB7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IT-12.16 </w:t>
            </w:r>
            <w:r w:rsidR="00847631" w:rsidRPr="00847631">
              <w:rPr>
                <w:b/>
              </w:rPr>
              <w:t>Screening and Surveillance of the Early Detection of Colorectal Cancer And Adenomatous Polyps</w:t>
            </w:r>
          </w:p>
        </w:tc>
      </w:tr>
      <w:tr w:rsidR="00AD706B" w14:paraId="780D73B8" w14:textId="77777777" w:rsidTr="0071629B">
        <w:tc>
          <w:tcPr>
            <w:tcW w:w="253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7038" w:type="dxa"/>
          </w:tcPr>
          <w:p w14:paraId="780D73B7" w14:textId="671B9534" w:rsidR="00AD706B" w:rsidRDefault="005C7D98" w:rsidP="005C7D98">
            <w:pPr>
              <w:pStyle w:val="NoSpacing"/>
            </w:pPr>
            <w:r>
              <w:t>P</w:t>
            </w:r>
            <w:r w:rsidR="00847631">
              <w:t>roportion of patients who undergo follow‐up colonoscopy within one year after initial colonoscopy detection of sessile adenomas that were removed piecemeal and/or rectal or colon cancer.</w:t>
            </w:r>
          </w:p>
        </w:tc>
      </w:tr>
      <w:tr w:rsidR="00AD706B" w14:paraId="780D73BB" w14:textId="77777777" w:rsidTr="00847631">
        <w:trPr>
          <w:trHeight w:val="197"/>
        </w:trPr>
        <w:tc>
          <w:tcPr>
            <w:tcW w:w="253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7038" w:type="dxa"/>
          </w:tcPr>
          <w:p w14:paraId="780D73BA" w14:textId="27A43A59" w:rsidR="00AD706B" w:rsidRDefault="00100A2F" w:rsidP="00847631">
            <w:pPr>
              <w:pStyle w:val="NoSpacing"/>
            </w:pPr>
            <w:r>
              <w:t>Not applicable</w:t>
            </w:r>
          </w:p>
        </w:tc>
      </w:tr>
      <w:tr w:rsidR="00AD706B" w14:paraId="780D73BE" w14:textId="77777777" w:rsidTr="0071629B">
        <w:tc>
          <w:tcPr>
            <w:tcW w:w="2538" w:type="dxa"/>
          </w:tcPr>
          <w:p w14:paraId="780D73BC" w14:textId="55F3257E" w:rsidR="00AD706B" w:rsidRPr="00717546" w:rsidRDefault="00AD706B" w:rsidP="00A414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Measure </w:t>
            </w:r>
            <w:r w:rsidR="00A41427">
              <w:rPr>
                <w:b/>
              </w:rPr>
              <w:t>Source</w:t>
            </w:r>
          </w:p>
        </w:tc>
        <w:tc>
          <w:tcPr>
            <w:tcW w:w="7038" w:type="dxa"/>
          </w:tcPr>
          <w:p w14:paraId="780D73BD" w14:textId="4A9E7059" w:rsidR="00AD706B" w:rsidRPr="00631E85" w:rsidRDefault="00847631" w:rsidP="00A374B8">
            <w:pPr>
              <w:pStyle w:val="NoSpacing"/>
            </w:pPr>
            <w:r w:rsidRPr="00847631">
              <w:t>American College of Gastroenterology</w:t>
            </w:r>
            <w:r>
              <w:t xml:space="preserve">  </w:t>
            </w:r>
          </w:p>
        </w:tc>
      </w:tr>
      <w:tr w:rsidR="00AD706B" w14:paraId="780D73C1" w14:textId="77777777" w:rsidTr="0071629B">
        <w:tc>
          <w:tcPr>
            <w:tcW w:w="2538" w:type="dxa"/>
          </w:tcPr>
          <w:p w14:paraId="780D73BF" w14:textId="6BF226C4" w:rsidR="00AD706B" w:rsidRDefault="00AD706B" w:rsidP="00A414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Link to measure </w:t>
            </w:r>
            <w:r w:rsidR="00A41427">
              <w:rPr>
                <w:b/>
              </w:rPr>
              <w:t>source</w:t>
            </w:r>
          </w:p>
        </w:tc>
        <w:tc>
          <w:tcPr>
            <w:tcW w:w="7038" w:type="dxa"/>
          </w:tcPr>
          <w:p w14:paraId="780D73C0" w14:textId="47F22CC9" w:rsidR="00AD706B" w:rsidRPr="00631E85" w:rsidRDefault="002C01E1" w:rsidP="00561D6D">
            <w:pPr>
              <w:pStyle w:val="NoSpacing"/>
            </w:pPr>
            <w:hyperlink r:id="rId12" w:history="1">
              <w:r w:rsidR="005C7D98" w:rsidRPr="00D611B5">
                <w:rPr>
                  <w:rStyle w:val="Hyperlink"/>
                </w:rPr>
                <w:t>http://gi.org/guideline/screening-and-surveillance-of-the-early-detection-of-colorectal-cancer-and-adenomatous-polyps/</w:t>
              </w:r>
            </w:hyperlink>
            <w:r w:rsidR="005C7D98">
              <w:t xml:space="preserve"> </w:t>
            </w:r>
          </w:p>
        </w:tc>
      </w:tr>
      <w:tr w:rsidR="00AD706B" w14:paraId="780D73C4" w14:textId="77777777" w:rsidTr="0071629B">
        <w:tc>
          <w:tcPr>
            <w:tcW w:w="2538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7038" w:type="dxa"/>
          </w:tcPr>
          <w:p w14:paraId="780D73C3" w14:textId="6265CB06" w:rsidR="00AD706B" w:rsidRDefault="00AD706B" w:rsidP="0036620A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654BB7" w14:paraId="780D73C7" w14:textId="77777777" w:rsidTr="0071629B">
        <w:tc>
          <w:tcPr>
            <w:tcW w:w="2538" w:type="dxa"/>
          </w:tcPr>
          <w:p w14:paraId="780D73C5" w14:textId="60785E8D" w:rsidR="00654BB7" w:rsidRDefault="00654BB7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7038" w:type="dxa"/>
          </w:tcPr>
          <w:p w14:paraId="0DAEF804" w14:textId="77777777" w:rsidR="00654BB7" w:rsidRDefault="00654BB7" w:rsidP="008E6242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654BB7" w:rsidRPr="008331B0" w14:paraId="42753B95" w14:textId="77777777" w:rsidTr="008E6242">
              <w:tc>
                <w:tcPr>
                  <w:tcW w:w="2209" w:type="dxa"/>
                </w:tcPr>
                <w:p w14:paraId="0C6D6D8D" w14:textId="77777777" w:rsidR="00654BB7" w:rsidRPr="008331B0" w:rsidRDefault="00654BB7" w:rsidP="008E6242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5D106142" w14:textId="77777777" w:rsidR="00654BB7" w:rsidRPr="008331B0" w:rsidRDefault="00654BB7" w:rsidP="008E6242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5870132B" w14:textId="77777777" w:rsidR="00654BB7" w:rsidRPr="008331B0" w:rsidRDefault="00654BB7" w:rsidP="008E6242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5E9C2B91" w14:textId="77777777" w:rsidR="00654BB7" w:rsidRPr="008331B0" w:rsidRDefault="00654BB7" w:rsidP="008E6242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28403670" w14:textId="77777777" w:rsidR="00654BB7" w:rsidRPr="008331B0" w:rsidRDefault="00654BB7" w:rsidP="008E6242">
                  <w:pPr>
                    <w:pStyle w:val="NoSpacing"/>
                    <w:jc w:val="center"/>
                  </w:pPr>
                </w:p>
              </w:tc>
            </w:tr>
            <w:tr w:rsidR="00654BB7" w:rsidRPr="008331B0" w14:paraId="2838E28B" w14:textId="77777777" w:rsidTr="008E6242">
              <w:tc>
                <w:tcPr>
                  <w:tcW w:w="2209" w:type="dxa"/>
                </w:tcPr>
                <w:p w14:paraId="267B9541" w14:textId="77777777" w:rsidR="00654BB7" w:rsidRPr="008331B0" w:rsidRDefault="00654BB7" w:rsidP="008E6242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6E199515" w14:textId="77777777" w:rsidR="00654BB7" w:rsidRDefault="00654BB7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*(performance gap) </w:t>
                  </w:r>
                </w:p>
                <w:p w14:paraId="667948DA" w14:textId="77777777" w:rsidR="00654BB7" w:rsidRDefault="00654BB7" w:rsidP="008E6242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55ECC78F" w14:textId="77777777" w:rsidR="00654BB7" w:rsidRPr="008331B0" w:rsidRDefault="00654BB7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  <w:tc>
                <w:tcPr>
                  <w:tcW w:w="2209" w:type="dxa"/>
                </w:tcPr>
                <w:p w14:paraId="77B09628" w14:textId="77777777" w:rsidR="00654BB7" w:rsidRDefault="00654BB7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*(performance gap) </w:t>
                  </w:r>
                </w:p>
                <w:p w14:paraId="4C7D7B3C" w14:textId="77777777" w:rsidR="00654BB7" w:rsidRDefault="00654BB7" w:rsidP="008E6242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04ED8CA2" w14:textId="77777777" w:rsidR="00654BB7" w:rsidRPr="008331B0" w:rsidRDefault="00654BB7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</w:tr>
          </w:tbl>
          <w:p w14:paraId="780D73C6" w14:textId="04D0348C" w:rsidR="00654BB7" w:rsidRDefault="00654BB7" w:rsidP="0036620A">
            <w:pPr>
              <w:pStyle w:val="NoSpacing"/>
            </w:pPr>
          </w:p>
        </w:tc>
      </w:tr>
      <w:tr w:rsidR="00AD706B" w14:paraId="780D73D0" w14:textId="77777777" w:rsidTr="0071629B">
        <w:tc>
          <w:tcPr>
            <w:tcW w:w="253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7038" w:type="dxa"/>
          </w:tcPr>
          <w:p w14:paraId="780D73CF" w14:textId="6F0AB1A1" w:rsidR="009F78A7" w:rsidRDefault="00787D45" w:rsidP="0036620A">
            <w:pPr>
              <w:pStyle w:val="NoSpacing"/>
            </w:pPr>
            <w:r w:rsidRPr="00787D45">
              <w:t>None</w:t>
            </w:r>
          </w:p>
        </w:tc>
      </w:tr>
      <w:tr w:rsidR="00AD706B" w14:paraId="780D73D3" w14:textId="77777777" w:rsidTr="0071629B">
        <w:tc>
          <w:tcPr>
            <w:tcW w:w="253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7038" w:type="dxa"/>
          </w:tcPr>
          <w:p w14:paraId="780D73D2" w14:textId="5C672BB9" w:rsidR="00AD706B" w:rsidRPr="009F7E66" w:rsidRDefault="0036620A" w:rsidP="0036620A">
            <w:pPr>
              <w:pStyle w:val="NoSpacing"/>
            </w:pPr>
            <w:r>
              <w:t>The number of patients who have sessile adenomas removed piecemeal and/or rectal or colon cancer detected during colonoscopy.</w:t>
            </w:r>
          </w:p>
        </w:tc>
      </w:tr>
      <w:tr w:rsidR="00787D45" w14:paraId="780D73D6" w14:textId="77777777" w:rsidTr="0071629B">
        <w:trPr>
          <w:trHeight w:val="728"/>
        </w:trPr>
        <w:tc>
          <w:tcPr>
            <w:tcW w:w="253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7038" w:type="dxa"/>
          </w:tcPr>
          <w:p w14:paraId="780D73D5" w14:textId="4DE76ACE" w:rsidR="00787D45" w:rsidRPr="0012650D" w:rsidRDefault="00787D45" w:rsidP="0036620A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87D45" w14:paraId="780D73D9" w14:textId="77777777" w:rsidTr="0071629B">
        <w:trPr>
          <w:trHeight w:val="710"/>
        </w:trPr>
        <w:tc>
          <w:tcPr>
            <w:tcW w:w="253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7038" w:type="dxa"/>
          </w:tcPr>
          <w:p w14:paraId="780D73D8" w14:textId="0A331FE4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36620A">
              <w:t>n the denominator description.</w:t>
            </w:r>
          </w:p>
        </w:tc>
      </w:tr>
      <w:tr w:rsidR="00D63CD3" w14:paraId="780D73DF" w14:textId="77777777" w:rsidTr="0071629B">
        <w:tc>
          <w:tcPr>
            <w:tcW w:w="253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703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 xml:space="preserve">(either 6 or 12-months) where the </w:t>
            </w:r>
            <w:r w:rsidR="0011709A">
              <w:lastRenderedPageBreak/>
              <w:t>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71629B">
        <w:tc>
          <w:tcPr>
            <w:tcW w:w="253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7038" w:type="dxa"/>
          </w:tcPr>
          <w:p w14:paraId="780D73E1" w14:textId="5ED481F2" w:rsidR="00AC3A97" w:rsidRPr="009F7E66" w:rsidRDefault="0036620A" w:rsidP="0036620A">
            <w:pPr>
              <w:pStyle w:val="NoSpacing"/>
            </w:pPr>
            <w:r>
              <w:t>The number of patients who undergo follow‐up colonoscopy within one year after initial colonoscopy detection of sessile adenomas that were removed piecemeal and/or rectal or colon cancer.</w:t>
            </w:r>
          </w:p>
        </w:tc>
      </w:tr>
      <w:tr w:rsidR="00787D45" w14:paraId="780D73E5" w14:textId="77777777" w:rsidTr="0071629B">
        <w:tc>
          <w:tcPr>
            <w:tcW w:w="2538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7038" w:type="dxa"/>
          </w:tcPr>
          <w:p w14:paraId="780D73E4" w14:textId="72292A24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36620A">
              <w:t xml:space="preserve"> in the numerator description.</w:t>
            </w:r>
          </w:p>
        </w:tc>
      </w:tr>
      <w:tr w:rsidR="00787D45" w14:paraId="780D73E8" w14:textId="77777777" w:rsidTr="0071629B">
        <w:tc>
          <w:tcPr>
            <w:tcW w:w="253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7038" w:type="dxa"/>
          </w:tcPr>
          <w:p w14:paraId="780D73E7" w14:textId="0699F82F" w:rsidR="00787D45" w:rsidRPr="001D6BEA" w:rsidRDefault="00787D45" w:rsidP="0036620A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 w14:paraId="780D73EB" w14:textId="77777777" w:rsidTr="0071629B">
        <w:tc>
          <w:tcPr>
            <w:tcW w:w="253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7038" w:type="dxa"/>
          </w:tcPr>
          <w:p w14:paraId="780D73EA" w14:textId="305487EC" w:rsidR="00AD706B" w:rsidRDefault="00AD706B" w:rsidP="00762D91">
            <w:pPr>
              <w:pStyle w:val="NoSpacing"/>
            </w:pPr>
            <w:r>
              <w:t>Ambulatory</w:t>
            </w:r>
          </w:p>
        </w:tc>
      </w:tr>
      <w:tr w:rsidR="00AD706B" w14:paraId="780D73EE" w14:textId="77777777" w:rsidTr="0071629B">
        <w:tc>
          <w:tcPr>
            <w:tcW w:w="253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7038" w:type="dxa"/>
          </w:tcPr>
          <w:p w14:paraId="780D73ED" w14:textId="094CC469" w:rsidR="00AD706B" w:rsidRDefault="00AF3A3D" w:rsidP="00AF3A3D">
            <w:pPr>
              <w:pStyle w:val="NoSpacing"/>
            </w:pPr>
            <w:r>
              <w:t>Administ</w:t>
            </w:r>
            <w:r w:rsidR="00762D91">
              <w:t>rative/Clinical data sources</w:t>
            </w:r>
          </w:p>
        </w:tc>
      </w:tr>
      <w:tr w:rsidR="00654BB7" w14:paraId="780D740D" w14:textId="77777777" w:rsidTr="0071629B">
        <w:tc>
          <w:tcPr>
            <w:tcW w:w="2538" w:type="dxa"/>
          </w:tcPr>
          <w:p w14:paraId="780D73EF" w14:textId="427C92DC" w:rsidR="00654BB7" w:rsidRPr="00717546" w:rsidRDefault="00654BB7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7038" w:type="dxa"/>
          </w:tcPr>
          <w:p w14:paraId="7DA8E8EE" w14:textId="77777777" w:rsidR="00654BB7" w:rsidRDefault="00654BB7" w:rsidP="008E6242">
            <w:pPr>
              <w:pStyle w:val="NoSpacing"/>
            </w:pPr>
            <w:r>
              <w:t>All denominator subsets are permissible for this outcome</w:t>
            </w:r>
          </w:p>
          <w:p w14:paraId="780D740C" w14:textId="0F581514" w:rsidR="00654BB7" w:rsidRDefault="00654BB7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E53493" w15:done="0"/>
  <w15:commentEx w15:paraId="45ED24BC" w15:done="0"/>
  <w15:commentEx w15:paraId="081AC1C3" w15:done="0"/>
  <w15:commentEx w15:paraId="011003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857E8" w14:textId="77777777" w:rsidR="00416636" w:rsidRDefault="00416636" w:rsidP="00F63191">
      <w:pPr>
        <w:spacing w:after="0" w:line="240" w:lineRule="auto"/>
      </w:pPr>
      <w:r>
        <w:separator/>
      </w:r>
    </w:p>
  </w:endnote>
  <w:endnote w:type="continuationSeparator" w:id="0">
    <w:p w14:paraId="7D671B81" w14:textId="77777777" w:rsidR="00416636" w:rsidRDefault="00416636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56AE" w14:textId="5B6B73E7" w:rsidR="00654BB7" w:rsidRDefault="00FA6ECE">
    <w:pPr>
      <w:pStyle w:val="Footer"/>
    </w:pPr>
    <w:r>
      <w:t>09/29/14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E72E" w14:textId="77777777" w:rsidR="00416636" w:rsidRDefault="00416636" w:rsidP="00F63191">
      <w:pPr>
        <w:spacing w:after="0" w:line="240" w:lineRule="auto"/>
      </w:pPr>
      <w:r>
        <w:separator/>
      </w:r>
    </w:p>
  </w:footnote>
  <w:footnote w:type="continuationSeparator" w:id="0">
    <w:p w14:paraId="0AC9FF9E" w14:textId="77777777" w:rsidR="00416636" w:rsidRDefault="00416636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49D6DBF9" w:rsidR="008F0411" w:rsidRDefault="00847631" w:rsidP="008F0411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a Ketchel">
    <w15:presenceInfo w15:providerId="AD" w15:userId="S-1-5-21-565777859-672028841-965413785-1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224F0"/>
    <w:rsid w:val="00245754"/>
    <w:rsid w:val="00271E53"/>
    <w:rsid w:val="002845C2"/>
    <w:rsid w:val="002C01E1"/>
    <w:rsid w:val="002E14AF"/>
    <w:rsid w:val="0032246B"/>
    <w:rsid w:val="003268B7"/>
    <w:rsid w:val="00346B8D"/>
    <w:rsid w:val="00356CF4"/>
    <w:rsid w:val="0036620A"/>
    <w:rsid w:val="00366D0B"/>
    <w:rsid w:val="00375652"/>
    <w:rsid w:val="00383516"/>
    <w:rsid w:val="003844DB"/>
    <w:rsid w:val="003A409E"/>
    <w:rsid w:val="003F4E8D"/>
    <w:rsid w:val="00416636"/>
    <w:rsid w:val="00416E44"/>
    <w:rsid w:val="004E7F26"/>
    <w:rsid w:val="00502BE4"/>
    <w:rsid w:val="00506BC5"/>
    <w:rsid w:val="00536799"/>
    <w:rsid w:val="00561D6D"/>
    <w:rsid w:val="005802A0"/>
    <w:rsid w:val="005857E6"/>
    <w:rsid w:val="005B79DD"/>
    <w:rsid w:val="005C70A1"/>
    <w:rsid w:val="005C7D98"/>
    <w:rsid w:val="005F4D43"/>
    <w:rsid w:val="00654BB7"/>
    <w:rsid w:val="0071629B"/>
    <w:rsid w:val="007164C7"/>
    <w:rsid w:val="00743628"/>
    <w:rsid w:val="00760D27"/>
    <w:rsid w:val="00762D91"/>
    <w:rsid w:val="00787D45"/>
    <w:rsid w:val="007C728B"/>
    <w:rsid w:val="007C7C85"/>
    <w:rsid w:val="007E0395"/>
    <w:rsid w:val="007F675B"/>
    <w:rsid w:val="007F7C07"/>
    <w:rsid w:val="00823868"/>
    <w:rsid w:val="00827557"/>
    <w:rsid w:val="00847631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11BD9"/>
    <w:rsid w:val="00A41427"/>
    <w:rsid w:val="00A82574"/>
    <w:rsid w:val="00AA0CA2"/>
    <w:rsid w:val="00AC3A97"/>
    <w:rsid w:val="00AD706B"/>
    <w:rsid w:val="00AF3A3D"/>
    <w:rsid w:val="00AF4DA0"/>
    <w:rsid w:val="00B05CBF"/>
    <w:rsid w:val="00B20462"/>
    <w:rsid w:val="00B546CF"/>
    <w:rsid w:val="00B65D92"/>
    <w:rsid w:val="00B7257A"/>
    <w:rsid w:val="00BA61F1"/>
    <w:rsid w:val="00BC4643"/>
    <w:rsid w:val="00C01E6F"/>
    <w:rsid w:val="00C36D72"/>
    <w:rsid w:val="00C52297"/>
    <w:rsid w:val="00C86C48"/>
    <w:rsid w:val="00C9758A"/>
    <w:rsid w:val="00CA2D3E"/>
    <w:rsid w:val="00CA4C08"/>
    <w:rsid w:val="00CC28BC"/>
    <w:rsid w:val="00CD7069"/>
    <w:rsid w:val="00D1777E"/>
    <w:rsid w:val="00D63CD3"/>
    <w:rsid w:val="00DB7651"/>
    <w:rsid w:val="00DD73C4"/>
    <w:rsid w:val="00DE660A"/>
    <w:rsid w:val="00E1692C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gi.org/guideline/screening-and-surveillance-of-the-early-detection-of-colorectal-cancer-and-adenomatous-polyp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73606-CC25-4590-9803-7920AC73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2014-09-29T13:29:00Z</dcterms:created>
  <dcterms:modified xsi:type="dcterms:W3CDTF">2014-09-29T13:29:00Z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