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DB40A" w14:textId="77777777" w:rsidR="00AD706B" w:rsidRDefault="00AD706B" w:rsidP="00AD706B">
      <w:pPr>
        <w:pStyle w:val="Heading1"/>
      </w:pPr>
      <w:r>
        <w:t>IT-</w:t>
      </w:r>
      <w:r w:rsidR="009F3C62">
        <w:t>12.10</w:t>
      </w:r>
      <w:r>
        <w:t xml:space="preserve">:  </w:t>
      </w:r>
      <w:r w:rsidR="009F3C62" w:rsidRPr="009F3C62">
        <w:t xml:space="preserve">Adults (18+ years) Immunization </w:t>
      </w:r>
      <w:r w:rsidR="009A7623">
        <w:t>S</w:t>
      </w:r>
      <w:r w:rsidR="009F3C62" w:rsidRPr="009F3C62">
        <w:t>tatus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10FDB40D" w14:textId="77777777" w:rsidTr="000716E3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10FDB40B" w14:textId="77777777" w:rsidR="00AD706B" w:rsidRPr="00717546" w:rsidRDefault="00AD706B" w:rsidP="00F4790C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10FDB40C" w14:textId="2F7E3608" w:rsidR="00AD706B" w:rsidRPr="0027334A" w:rsidRDefault="00F4790C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IT-12.10 </w:t>
            </w:r>
            <w:r w:rsidR="0027334A" w:rsidRPr="0027334A">
              <w:rPr>
                <w:b/>
              </w:rPr>
              <w:t>Preventive services for adults: percentage of adult patients 18 years and older who are up-to-date with the following immunizations: 1) one Td in the last 10 years, 2) varicella – two doses or history of disease up to year 1995, 3) PPSV23 for patients 65 and older, 4) one influenza within last year, and 5) herpes zoster/shingles (patients 60 years and older).</w:t>
            </w:r>
          </w:p>
        </w:tc>
      </w:tr>
      <w:tr w:rsidR="00AD706B" w14:paraId="10FDB415" w14:textId="77777777" w:rsidTr="000716E3">
        <w:tc>
          <w:tcPr>
            <w:tcW w:w="2718" w:type="dxa"/>
          </w:tcPr>
          <w:p w14:paraId="10FDB40E" w14:textId="77777777" w:rsidR="00AD706B" w:rsidRPr="00717546" w:rsidRDefault="00AD706B" w:rsidP="00F4790C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10FDB40F" w14:textId="28EAE284" w:rsidR="0027334A" w:rsidRDefault="00AC06E0" w:rsidP="0027334A">
            <w:pPr>
              <w:pStyle w:val="NoSpacing"/>
            </w:pPr>
            <w:r>
              <w:t>P</w:t>
            </w:r>
            <w:r w:rsidR="0027334A">
              <w:t>ercentage of adult patients 18 years and older who are up-to-date with the following immunizations:</w:t>
            </w:r>
          </w:p>
          <w:p w14:paraId="10FDB410" w14:textId="77777777" w:rsidR="0027334A" w:rsidRDefault="0027334A" w:rsidP="0027334A">
            <w:pPr>
              <w:pStyle w:val="NoSpacing"/>
              <w:numPr>
                <w:ilvl w:val="0"/>
                <w:numId w:val="10"/>
              </w:numPr>
            </w:pPr>
            <w:r>
              <w:t>One tetanus and diphtheria toxoids (Td) vaccine in the last 10 years</w:t>
            </w:r>
          </w:p>
          <w:p w14:paraId="10FDB411" w14:textId="77777777" w:rsidR="0027334A" w:rsidRDefault="0027334A" w:rsidP="0027334A">
            <w:pPr>
              <w:pStyle w:val="NoSpacing"/>
              <w:numPr>
                <w:ilvl w:val="0"/>
                <w:numId w:val="10"/>
              </w:numPr>
            </w:pPr>
            <w:r>
              <w:t>Varicella – two doses or history of disease up to year 1995</w:t>
            </w:r>
          </w:p>
          <w:p w14:paraId="10FDB412" w14:textId="77777777" w:rsidR="0027334A" w:rsidRDefault="0027334A" w:rsidP="0027334A">
            <w:pPr>
              <w:pStyle w:val="NoSpacing"/>
              <w:numPr>
                <w:ilvl w:val="0"/>
                <w:numId w:val="10"/>
              </w:numPr>
            </w:pPr>
            <w:r>
              <w:t>Pneumococcal polysaccharide vaccine (PPSV23) for patients 65 and older</w:t>
            </w:r>
          </w:p>
          <w:p w14:paraId="10FDB413" w14:textId="77777777" w:rsidR="0027334A" w:rsidRDefault="0027334A" w:rsidP="0027334A">
            <w:pPr>
              <w:pStyle w:val="NoSpacing"/>
              <w:numPr>
                <w:ilvl w:val="0"/>
                <w:numId w:val="10"/>
              </w:numPr>
            </w:pPr>
            <w:r>
              <w:t>One influenza within last year</w:t>
            </w:r>
          </w:p>
          <w:p w14:paraId="10FDB414" w14:textId="77777777" w:rsidR="00AD706B" w:rsidRDefault="0027334A" w:rsidP="0027334A">
            <w:pPr>
              <w:pStyle w:val="NoSpacing"/>
              <w:numPr>
                <w:ilvl w:val="0"/>
                <w:numId w:val="10"/>
              </w:numPr>
            </w:pPr>
            <w:r>
              <w:t>Herpes zoster/shingles (patients 60 years and older)</w:t>
            </w:r>
          </w:p>
        </w:tc>
      </w:tr>
      <w:tr w:rsidR="00AD706B" w14:paraId="10FDB418" w14:textId="77777777" w:rsidTr="000716E3">
        <w:tc>
          <w:tcPr>
            <w:tcW w:w="2718" w:type="dxa"/>
          </w:tcPr>
          <w:p w14:paraId="10FDB416" w14:textId="77777777" w:rsidR="00AD706B" w:rsidRPr="00717546" w:rsidRDefault="00AD706B" w:rsidP="00F4790C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10FDB417" w14:textId="77777777" w:rsidR="00AD706B" w:rsidRDefault="00AF2328" w:rsidP="00B05CBF">
            <w:pPr>
              <w:pStyle w:val="NoSpacing"/>
            </w:pPr>
            <w:r>
              <w:t xml:space="preserve">Not applicable </w:t>
            </w:r>
          </w:p>
        </w:tc>
      </w:tr>
      <w:tr w:rsidR="00AD706B" w14:paraId="10FDB41B" w14:textId="77777777" w:rsidTr="000716E3">
        <w:tc>
          <w:tcPr>
            <w:tcW w:w="2718" w:type="dxa"/>
          </w:tcPr>
          <w:p w14:paraId="10FDB419" w14:textId="77777777" w:rsidR="00AD706B" w:rsidRPr="00717546" w:rsidRDefault="00AD706B" w:rsidP="00F4790C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10FDB41A" w14:textId="77777777" w:rsidR="00AD706B" w:rsidRPr="00631E85" w:rsidRDefault="00AF2328" w:rsidP="00F4790C">
            <w:pPr>
              <w:pStyle w:val="NoSpacing"/>
            </w:pPr>
            <w:r>
              <w:t xml:space="preserve">Institute for Clinical Systems Improvement </w:t>
            </w:r>
          </w:p>
        </w:tc>
      </w:tr>
      <w:tr w:rsidR="00AD706B" w14:paraId="10FDB41E" w14:textId="77777777" w:rsidTr="000716E3">
        <w:tc>
          <w:tcPr>
            <w:tcW w:w="2718" w:type="dxa"/>
          </w:tcPr>
          <w:p w14:paraId="10FDB41C" w14:textId="77777777" w:rsidR="00AD706B" w:rsidRDefault="00AD706B" w:rsidP="00F4790C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10FDB41D" w14:textId="25CB5384" w:rsidR="00AD706B" w:rsidRPr="00631E85" w:rsidRDefault="00F4790C" w:rsidP="00F4790C">
            <w:pPr>
              <w:pStyle w:val="NoSpacing"/>
            </w:pPr>
            <w:r>
              <w:t>http://www.cdc.gov/vaccines/schedules/hcp/imz/adult.html</w:t>
            </w:r>
            <w:r w:rsidR="0027334A">
              <w:t xml:space="preserve"> </w:t>
            </w:r>
          </w:p>
        </w:tc>
      </w:tr>
      <w:tr w:rsidR="00AD706B" w14:paraId="10FDB421" w14:textId="77777777" w:rsidTr="000716E3">
        <w:tc>
          <w:tcPr>
            <w:tcW w:w="2718" w:type="dxa"/>
          </w:tcPr>
          <w:p w14:paraId="10FDB41F" w14:textId="77777777" w:rsidR="00AD706B" w:rsidRDefault="00AD706B" w:rsidP="00F4790C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10FDB420" w14:textId="27DBBCDD" w:rsidR="00AD706B" w:rsidRDefault="00AC06E0" w:rsidP="00AD706B">
            <w:pPr>
              <w:pStyle w:val="NoSpacing"/>
            </w:pPr>
            <w:r>
              <w:t>Non Stand-Alone (</w:t>
            </w:r>
            <w:r w:rsidR="0027334A">
              <w:t>NSA</w:t>
            </w:r>
            <w:r>
              <w:t>)</w:t>
            </w:r>
          </w:p>
        </w:tc>
      </w:tr>
      <w:tr w:rsidR="00E707A3" w14:paraId="10FDB424" w14:textId="77777777" w:rsidTr="000716E3">
        <w:tc>
          <w:tcPr>
            <w:tcW w:w="2718" w:type="dxa"/>
          </w:tcPr>
          <w:p w14:paraId="10FDB422" w14:textId="044FAA73" w:rsidR="00E707A3" w:rsidRDefault="00E707A3" w:rsidP="00F4790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858" w:type="dxa"/>
          </w:tcPr>
          <w:p w14:paraId="7E4EA447" w14:textId="77777777" w:rsidR="00E707A3" w:rsidRDefault="00E707A3" w:rsidP="008E6242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E707A3" w:rsidRPr="008331B0" w14:paraId="11BF9BC4" w14:textId="77777777" w:rsidTr="008E6242">
              <w:tc>
                <w:tcPr>
                  <w:tcW w:w="2209" w:type="dxa"/>
                </w:tcPr>
                <w:p w14:paraId="2A013958" w14:textId="77777777" w:rsidR="00E707A3" w:rsidRPr="008331B0" w:rsidRDefault="00E707A3" w:rsidP="008E6242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0C01C10F" w14:textId="77777777" w:rsidR="00E707A3" w:rsidRPr="008331B0" w:rsidRDefault="00E707A3" w:rsidP="008E6242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3A5818FE" w14:textId="77777777" w:rsidR="00E707A3" w:rsidRPr="008331B0" w:rsidRDefault="00E707A3" w:rsidP="008E6242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60C3991F" w14:textId="77777777" w:rsidR="00E707A3" w:rsidRPr="008331B0" w:rsidRDefault="00E707A3" w:rsidP="008E6242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4AD613BA" w14:textId="77777777" w:rsidR="00E707A3" w:rsidRPr="008331B0" w:rsidRDefault="00E707A3" w:rsidP="008E6242">
                  <w:pPr>
                    <w:pStyle w:val="NoSpacing"/>
                    <w:jc w:val="center"/>
                  </w:pPr>
                </w:p>
              </w:tc>
            </w:tr>
            <w:tr w:rsidR="00E707A3" w:rsidRPr="008331B0" w14:paraId="244ED9E7" w14:textId="77777777" w:rsidTr="008E6242">
              <w:tc>
                <w:tcPr>
                  <w:tcW w:w="2209" w:type="dxa"/>
                </w:tcPr>
                <w:p w14:paraId="7EC775D5" w14:textId="77777777" w:rsidR="00E707A3" w:rsidRPr="008331B0" w:rsidRDefault="00E707A3" w:rsidP="008E6242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45005F18" w14:textId="77777777" w:rsidR="00E707A3" w:rsidRDefault="00E707A3" w:rsidP="008E6242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5% *(performance gap) </w:t>
                  </w:r>
                </w:p>
                <w:p w14:paraId="3A4CF928" w14:textId="77777777" w:rsidR="00E707A3" w:rsidRDefault="00E707A3" w:rsidP="008E6242">
                  <w:pPr>
                    <w:pStyle w:val="NoSpacing"/>
                    <w:jc w:val="center"/>
                  </w:pPr>
                  <w:r w:rsidRPr="004B796E">
                    <w:t>=</w:t>
                  </w:r>
                </w:p>
                <w:p w14:paraId="35FF3A6A" w14:textId="77777777" w:rsidR="00E707A3" w:rsidRPr="008331B0" w:rsidRDefault="00E707A3" w:rsidP="008E6242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5% *(100% – </w:t>
                  </w:r>
                  <w:r>
                    <w:t>B</w:t>
                  </w:r>
                  <w:r w:rsidRPr="004B796E">
                    <w:t>aseline rate)</w:t>
                  </w:r>
                </w:p>
              </w:tc>
              <w:tc>
                <w:tcPr>
                  <w:tcW w:w="2209" w:type="dxa"/>
                </w:tcPr>
                <w:p w14:paraId="1B70C7E8" w14:textId="77777777" w:rsidR="00E707A3" w:rsidRDefault="00E707A3" w:rsidP="008E6242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</w:t>
                  </w:r>
                  <w:r>
                    <w:t>10</w:t>
                  </w:r>
                  <w:r w:rsidRPr="004B796E">
                    <w:t xml:space="preserve">% *(performance gap) </w:t>
                  </w:r>
                </w:p>
                <w:p w14:paraId="50B1C920" w14:textId="77777777" w:rsidR="00E707A3" w:rsidRDefault="00E707A3" w:rsidP="008E6242">
                  <w:pPr>
                    <w:pStyle w:val="NoSpacing"/>
                    <w:jc w:val="center"/>
                  </w:pPr>
                  <w:r w:rsidRPr="004B796E">
                    <w:t>=</w:t>
                  </w:r>
                </w:p>
                <w:p w14:paraId="4F7DB328" w14:textId="77777777" w:rsidR="00E707A3" w:rsidRPr="008331B0" w:rsidRDefault="00E707A3" w:rsidP="008E6242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</w:t>
                  </w:r>
                  <w:r>
                    <w:t>10</w:t>
                  </w:r>
                  <w:r w:rsidRPr="004B796E">
                    <w:t xml:space="preserve">% *(100% – </w:t>
                  </w:r>
                  <w:r>
                    <w:t>B</w:t>
                  </w:r>
                  <w:r w:rsidRPr="004B796E">
                    <w:t>aseline rate)</w:t>
                  </w:r>
                </w:p>
              </w:tc>
            </w:tr>
          </w:tbl>
          <w:p w14:paraId="10FDB423" w14:textId="7F4AB9CB" w:rsidR="00E707A3" w:rsidRDefault="00E707A3" w:rsidP="00967948">
            <w:pPr>
              <w:pStyle w:val="NoSpacing"/>
            </w:pPr>
          </w:p>
        </w:tc>
      </w:tr>
      <w:tr w:rsidR="00AD706B" w14:paraId="10FDB428" w14:textId="77777777" w:rsidTr="000716E3">
        <w:tc>
          <w:tcPr>
            <w:tcW w:w="2718" w:type="dxa"/>
          </w:tcPr>
          <w:p w14:paraId="10FDB425" w14:textId="77777777" w:rsidR="00AD706B" w:rsidRPr="00717546" w:rsidRDefault="00AD706B" w:rsidP="00F4790C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10FDB427" w14:textId="7811A4DD" w:rsidR="009F78A7" w:rsidRDefault="00AC06E0" w:rsidP="00AC06E0">
            <w:pPr>
              <w:pStyle w:val="NoSpacing"/>
            </w:pPr>
            <w:r>
              <w:t>None</w:t>
            </w:r>
          </w:p>
        </w:tc>
      </w:tr>
      <w:tr w:rsidR="00AD706B" w14:paraId="10FDB42B" w14:textId="77777777" w:rsidTr="000716E3">
        <w:tc>
          <w:tcPr>
            <w:tcW w:w="2718" w:type="dxa"/>
          </w:tcPr>
          <w:p w14:paraId="10FDB429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10FDB42A" w14:textId="0C30DD73" w:rsidR="00AD706B" w:rsidRPr="009F7E66" w:rsidRDefault="0027334A" w:rsidP="00AC06E0">
            <w:pPr>
              <w:pStyle w:val="NoSpacing"/>
            </w:pPr>
            <w:r>
              <w:t>Number of patients 18 years and older during the specified measurement period</w:t>
            </w:r>
            <w:r w:rsidR="00AC06E0">
              <w:t>*</w:t>
            </w:r>
          </w:p>
        </w:tc>
      </w:tr>
      <w:tr w:rsidR="00B05CBF" w14:paraId="10FDB430" w14:textId="77777777" w:rsidTr="000716E3">
        <w:trPr>
          <w:trHeight w:val="548"/>
        </w:trPr>
        <w:tc>
          <w:tcPr>
            <w:tcW w:w="2718" w:type="dxa"/>
          </w:tcPr>
          <w:p w14:paraId="10FDB42C" w14:textId="77777777"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10FDB42F" w14:textId="62D5F21F" w:rsidR="0027334A" w:rsidRPr="0027334A" w:rsidRDefault="000E6F01" w:rsidP="0027334A">
            <w:pPr>
              <w:pStyle w:val="NoSpacing"/>
            </w:pPr>
            <w:r>
              <w:t>The Measure Steward does not identify specific denominator inclusions beyond what is described in the denominator description.</w:t>
            </w:r>
          </w:p>
        </w:tc>
      </w:tr>
      <w:tr w:rsidR="00B05CBF" w14:paraId="10FDB433" w14:textId="77777777" w:rsidTr="000716E3">
        <w:trPr>
          <w:trHeight w:val="548"/>
        </w:trPr>
        <w:tc>
          <w:tcPr>
            <w:tcW w:w="2718" w:type="dxa"/>
          </w:tcPr>
          <w:p w14:paraId="10FDB431" w14:textId="77777777"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10FDB432" w14:textId="6DE2F3B3" w:rsidR="00B05CBF" w:rsidRPr="001D6BEA" w:rsidRDefault="00E707A3" w:rsidP="002E14AF">
            <w:pPr>
              <w:pStyle w:val="NoSpacing"/>
            </w:pPr>
            <w:r>
              <w:t>Patients with immunization contraindications listed in the medical record should be excluded</w:t>
            </w:r>
          </w:p>
        </w:tc>
      </w:tr>
      <w:tr w:rsidR="00D63CD3" w14:paraId="10FDB439" w14:textId="77777777" w:rsidTr="000716E3">
        <w:tc>
          <w:tcPr>
            <w:tcW w:w="2718" w:type="dxa"/>
          </w:tcPr>
          <w:p w14:paraId="10FDB434" w14:textId="77777777" w:rsidR="00D63CD3" w:rsidRDefault="00D63CD3" w:rsidP="00F4790C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10FDB435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10FDB436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10FDB437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lastRenderedPageBreak/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10FDB438" w14:textId="19EBEC46" w:rsidR="0032246B" w:rsidRPr="001D6BEA" w:rsidRDefault="0032246B" w:rsidP="005F4496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F4496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10FDB441" w14:textId="77777777" w:rsidTr="000716E3">
        <w:tc>
          <w:tcPr>
            <w:tcW w:w="2718" w:type="dxa"/>
          </w:tcPr>
          <w:p w14:paraId="10FDB43A" w14:textId="77777777" w:rsidR="00AC3A97" w:rsidRPr="00717546" w:rsidRDefault="00AC3A97" w:rsidP="00F4790C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14:paraId="10FDB43B" w14:textId="77777777" w:rsidR="0027334A" w:rsidRDefault="0027334A" w:rsidP="0027334A">
            <w:pPr>
              <w:pStyle w:val="NoSpacing"/>
            </w:pPr>
            <w:r>
              <w:t>Number of patients who are up-to-date with following immunizations:</w:t>
            </w:r>
          </w:p>
          <w:p w14:paraId="10FDB43C" w14:textId="77777777" w:rsidR="0027334A" w:rsidRDefault="0027334A" w:rsidP="0027334A">
            <w:pPr>
              <w:pStyle w:val="NoSpacing"/>
              <w:numPr>
                <w:ilvl w:val="0"/>
                <w:numId w:val="11"/>
              </w:numPr>
            </w:pPr>
            <w:r>
              <w:t>One tetanus and diphtheria toxoids (Td) vaccine in the last 10 years</w:t>
            </w:r>
          </w:p>
          <w:p w14:paraId="10FDB43D" w14:textId="77777777" w:rsidR="0027334A" w:rsidRDefault="0027334A" w:rsidP="0027334A">
            <w:pPr>
              <w:pStyle w:val="NoSpacing"/>
              <w:numPr>
                <w:ilvl w:val="0"/>
                <w:numId w:val="11"/>
              </w:numPr>
            </w:pPr>
            <w:r>
              <w:t>Varicella – two doses or history of disease up to year 1995</w:t>
            </w:r>
          </w:p>
          <w:p w14:paraId="10FDB43E" w14:textId="77777777" w:rsidR="0027334A" w:rsidRDefault="0027334A" w:rsidP="0027334A">
            <w:pPr>
              <w:pStyle w:val="NoSpacing"/>
              <w:numPr>
                <w:ilvl w:val="0"/>
                <w:numId w:val="11"/>
              </w:numPr>
            </w:pPr>
            <w:r>
              <w:t>Pneumococcal polysaccharide vaccine (PPSV23) for patients 65 and older</w:t>
            </w:r>
          </w:p>
          <w:p w14:paraId="10FDB43F" w14:textId="567023BB" w:rsidR="0027334A" w:rsidRDefault="0027334A" w:rsidP="0027334A">
            <w:pPr>
              <w:pStyle w:val="NoSpacing"/>
              <w:numPr>
                <w:ilvl w:val="0"/>
                <w:numId w:val="11"/>
              </w:numPr>
            </w:pPr>
            <w:r>
              <w:t>One influenza</w:t>
            </w:r>
            <w:r w:rsidR="00E707A3">
              <w:t xml:space="preserve"> dose within the last year</w:t>
            </w:r>
          </w:p>
          <w:p w14:paraId="10FDB440" w14:textId="77777777" w:rsidR="00AC3A97" w:rsidRPr="009F7E66" w:rsidRDefault="0027334A" w:rsidP="0027334A">
            <w:pPr>
              <w:pStyle w:val="NoSpacing"/>
              <w:numPr>
                <w:ilvl w:val="0"/>
                <w:numId w:val="11"/>
              </w:numPr>
            </w:pPr>
            <w:r>
              <w:t>Herpes zoster/shingles (patients 60 years and older)</w:t>
            </w:r>
          </w:p>
        </w:tc>
      </w:tr>
      <w:tr w:rsidR="00AC3A97" w14:paraId="10FDB449" w14:textId="77777777" w:rsidTr="000716E3">
        <w:tc>
          <w:tcPr>
            <w:tcW w:w="2718" w:type="dxa"/>
          </w:tcPr>
          <w:p w14:paraId="10FDB442" w14:textId="77777777" w:rsidR="00AC3A97" w:rsidRPr="00717546" w:rsidRDefault="00AC3A97" w:rsidP="00F4790C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10FDB448" w14:textId="0994AEF0" w:rsidR="00AC3A97" w:rsidRPr="0012650D" w:rsidRDefault="000E6F01" w:rsidP="000E6F01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 in the numerator description.</w:t>
            </w:r>
          </w:p>
        </w:tc>
      </w:tr>
      <w:tr w:rsidR="00AC3A97" w14:paraId="10FDB44C" w14:textId="77777777" w:rsidTr="000716E3">
        <w:tc>
          <w:tcPr>
            <w:tcW w:w="2718" w:type="dxa"/>
          </w:tcPr>
          <w:p w14:paraId="10FDB44A" w14:textId="77777777" w:rsidR="00AC3A97" w:rsidRPr="00717546" w:rsidRDefault="00AC3A97" w:rsidP="00F4790C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10FDB44B" w14:textId="77777777" w:rsidR="00AC3A97" w:rsidRPr="001D6BEA" w:rsidRDefault="009F04D0" w:rsidP="002E14AF">
            <w:pPr>
              <w:pStyle w:val="NoSpacing"/>
            </w:pPr>
            <w:r>
              <w:t>The Measure Steward does not identify specific numerator exclusions beyond what is described</w:t>
            </w:r>
            <w:r w:rsidR="0027334A">
              <w:t xml:space="preserve"> in the numerator description.</w:t>
            </w:r>
            <w:bookmarkStart w:id="0" w:name="_GoBack"/>
            <w:bookmarkEnd w:id="0"/>
          </w:p>
        </w:tc>
      </w:tr>
      <w:tr w:rsidR="00AD706B" w14:paraId="10FDB44F" w14:textId="77777777" w:rsidTr="000716E3">
        <w:tc>
          <w:tcPr>
            <w:tcW w:w="2718" w:type="dxa"/>
          </w:tcPr>
          <w:p w14:paraId="10FDB44D" w14:textId="77777777" w:rsidR="00AD706B" w:rsidRPr="00717546" w:rsidRDefault="00AD706B" w:rsidP="00F4790C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10FDB44E" w14:textId="77777777" w:rsidR="00AD706B" w:rsidRDefault="0027334A" w:rsidP="00CD7069">
            <w:pPr>
              <w:pStyle w:val="NoSpacing"/>
            </w:pPr>
            <w:r>
              <w:t>Ambulatory</w:t>
            </w:r>
          </w:p>
        </w:tc>
      </w:tr>
      <w:tr w:rsidR="00AD706B" w14:paraId="10FDB454" w14:textId="77777777" w:rsidTr="000716E3">
        <w:tc>
          <w:tcPr>
            <w:tcW w:w="2718" w:type="dxa"/>
          </w:tcPr>
          <w:p w14:paraId="10FDB450" w14:textId="77777777" w:rsidR="00AD706B" w:rsidRDefault="00AD706B" w:rsidP="00F4790C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10FDB451" w14:textId="77777777" w:rsidR="0027334A" w:rsidRDefault="0027334A" w:rsidP="0027334A">
            <w:pPr>
              <w:pStyle w:val="NoSpacing"/>
              <w:numPr>
                <w:ilvl w:val="0"/>
                <w:numId w:val="13"/>
              </w:numPr>
            </w:pPr>
            <w:r>
              <w:t>Clinical Data</w:t>
            </w:r>
          </w:p>
          <w:p w14:paraId="10FDB452" w14:textId="77777777" w:rsidR="0027334A" w:rsidRDefault="0027334A" w:rsidP="0027334A">
            <w:pPr>
              <w:pStyle w:val="NoSpacing"/>
              <w:numPr>
                <w:ilvl w:val="0"/>
                <w:numId w:val="13"/>
              </w:numPr>
            </w:pPr>
            <w:r>
              <w:t>Electronic Health Record</w:t>
            </w:r>
          </w:p>
          <w:p w14:paraId="10FDB453" w14:textId="77777777" w:rsidR="00AD706B" w:rsidRDefault="0027334A" w:rsidP="0027334A">
            <w:pPr>
              <w:pStyle w:val="NoSpacing"/>
              <w:numPr>
                <w:ilvl w:val="0"/>
                <w:numId w:val="13"/>
              </w:numPr>
            </w:pPr>
            <w:r w:rsidRPr="0027334A">
              <w:t>Administrative Claims</w:t>
            </w:r>
          </w:p>
        </w:tc>
      </w:tr>
      <w:tr w:rsidR="00E707A3" w14:paraId="10FDB473" w14:textId="77777777" w:rsidTr="000716E3">
        <w:tc>
          <w:tcPr>
            <w:tcW w:w="2718" w:type="dxa"/>
          </w:tcPr>
          <w:p w14:paraId="10FDB455" w14:textId="36ABFF68" w:rsidR="00E707A3" w:rsidRPr="00717546" w:rsidRDefault="00E707A3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23FD02AE" w14:textId="77777777" w:rsidR="00E707A3" w:rsidRDefault="00E707A3" w:rsidP="008E6242">
            <w:pPr>
              <w:pStyle w:val="NoSpacing"/>
            </w:pPr>
            <w:r>
              <w:t>All denominator subsets are permissible for this outcome</w:t>
            </w:r>
          </w:p>
          <w:p w14:paraId="10FDB472" w14:textId="26D11D58" w:rsidR="00E707A3" w:rsidRDefault="00E707A3" w:rsidP="007F7C07">
            <w:pPr>
              <w:pStyle w:val="NoSpacing"/>
            </w:pPr>
            <w:r>
              <w:t> </w:t>
            </w:r>
          </w:p>
        </w:tc>
      </w:tr>
    </w:tbl>
    <w:p w14:paraId="10FDB4BD" w14:textId="77777777" w:rsidR="00356CF4" w:rsidRPr="008F249E" w:rsidRDefault="00356CF4" w:rsidP="0027334A">
      <w:pPr>
        <w:pStyle w:val="Heading2"/>
      </w:pPr>
    </w:p>
    <w:sectPr w:rsidR="00356CF4" w:rsidRPr="008F249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DB4C0" w14:textId="77777777" w:rsidR="002D4A69" w:rsidRDefault="002D4A69" w:rsidP="00F63191">
      <w:pPr>
        <w:spacing w:after="0" w:line="240" w:lineRule="auto"/>
      </w:pPr>
      <w:r>
        <w:separator/>
      </w:r>
    </w:p>
  </w:endnote>
  <w:endnote w:type="continuationSeparator" w:id="0">
    <w:p w14:paraId="10FDB4C1" w14:textId="77777777" w:rsidR="002D4A69" w:rsidRDefault="002D4A69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6D4C8" w14:textId="271E6889" w:rsidR="00E707A3" w:rsidRDefault="00E707A3">
    <w:pPr>
      <w:pStyle w:val="Footer"/>
    </w:pPr>
    <w:r>
      <w:t>09/</w:t>
    </w:r>
    <w:r w:rsidR="0006354F">
      <w:t>26</w:t>
    </w:r>
    <w:r>
      <w:t>/14</w:t>
    </w:r>
  </w:p>
  <w:p w14:paraId="10FDB4C4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DB4BE" w14:textId="77777777" w:rsidR="002D4A69" w:rsidRDefault="002D4A69" w:rsidP="00F63191">
      <w:pPr>
        <w:spacing w:after="0" w:line="240" w:lineRule="auto"/>
      </w:pPr>
      <w:r>
        <w:separator/>
      </w:r>
    </w:p>
  </w:footnote>
  <w:footnote w:type="continuationSeparator" w:id="0">
    <w:p w14:paraId="10FDB4BF" w14:textId="77777777" w:rsidR="002D4A69" w:rsidRDefault="002D4A69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B4C2" w14:textId="4CCAC4C7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0D86"/>
    <w:multiLevelType w:val="hybridMultilevel"/>
    <w:tmpl w:val="DC6C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759B"/>
    <w:multiLevelType w:val="hybridMultilevel"/>
    <w:tmpl w:val="F754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86A1E"/>
    <w:multiLevelType w:val="hybridMultilevel"/>
    <w:tmpl w:val="7DA6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26F37"/>
    <w:multiLevelType w:val="hybridMultilevel"/>
    <w:tmpl w:val="E274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14"/>
  </w:num>
  <w:num w:numId="12">
    <w:abstractNumId w:val="5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6354F"/>
    <w:rsid w:val="000716E3"/>
    <w:rsid w:val="000C575F"/>
    <w:rsid w:val="000D1199"/>
    <w:rsid w:val="000D5A2D"/>
    <w:rsid w:val="000E6F01"/>
    <w:rsid w:val="000E7EED"/>
    <w:rsid w:val="00100A2F"/>
    <w:rsid w:val="00107C1A"/>
    <w:rsid w:val="0011709A"/>
    <w:rsid w:val="00165D76"/>
    <w:rsid w:val="001D6BEA"/>
    <w:rsid w:val="002224F0"/>
    <w:rsid w:val="00245754"/>
    <w:rsid w:val="00271E53"/>
    <w:rsid w:val="0027334A"/>
    <w:rsid w:val="002845C2"/>
    <w:rsid w:val="002D4A69"/>
    <w:rsid w:val="002E14AF"/>
    <w:rsid w:val="0032246B"/>
    <w:rsid w:val="00346B8D"/>
    <w:rsid w:val="00356CF4"/>
    <w:rsid w:val="00366D0B"/>
    <w:rsid w:val="00375652"/>
    <w:rsid w:val="00383516"/>
    <w:rsid w:val="003844DB"/>
    <w:rsid w:val="003A409E"/>
    <w:rsid w:val="003D6365"/>
    <w:rsid w:val="003F4E8D"/>
    <w:rsid w:val="00416E44"/>
    <w:rsid w:val="00465D84"/>
    <w:rsid w:val="00502BE4"/>
    <w:rsid w:val="00506BC5"/>
    <w:rsid w:val="00536799"/>
    <w:rsid w:val="005802A0"/>
    <w:rsid w:val="005857E6"/>
    <w:rsid w:val="005B79DD"/>
    <w:rsid w:val="005C70A1"/>
    <w:rsid w:val="005F4496"/>
    <w:rsid w:val="005F4D43"/>
    <w:rsid w:val="00621F14"/>
    <w:rsid w:val="006234C5"/>
    <w:rsid w:val="007164C7"/>
    <w:rsid w:val="00743628"/>
    <w:rsid w:val="00760D27"/>
    <w:rsid w:val="007706FA"/>
    <w:rsid w:val="007C728B"/>
    <w:rsid w:val="007C7C85"/>
    <w:rsid w:val="007E0395"/>
    <w:rsid w:val="007F675B"/>
    <w:rsid w:val="007F7C07"/>
    <w:rsid w:val="00823868"/>
    <w:rsid w:val="00827557"/>
    <w:rsid w:val="008722BB"/>
    <w:rsid w:val="008779F5"/>
    <w:rsid w:val="0088642E"/>
    <w:rsid w:val="00886E0E"/>
    <w:rsid w:val="008A5405"/>
    <w:rsid w:val="008D1A8E"/>
    <w:rsid w:val="008F0411"/>
    <w:rsid w:val="008F249E"/>
    <w:rsid w:val="00965A2A"/>
    <w:rsid w:val="00967948"/>
    <w:rsid w:val="00994A41"/>
    <w:rsid w:val="00996DD5"/>
    <w:rsid w:val="009A7623"/>
    <w:rsid w:val="009C6EA3"/>
    <w:rsid w:val="009F04D0"/>
    <w:rsid w:val="009F3C62"/>
    <w:rsid w:val="009F78A7"/>
    <w:rsid w:val="009F7E66"/>
    <w:rsid w:val="00A11BD9"/>
    <w:rsid w:val="00A82574"/>
    <w:rsid w:val="00AC06E0"/>
    <w:rsid w:val="00AC3A97"/>
    <w:rsid w:val="00AD706B"/>
    <w:rsid w:val="00AF2328"/>
    <w:rsid w:val="00AF3A3D"/>
    <w:rsid w:val="00AF47D3"/>
    <w:rsid w:val="00B05CBF"/>
    <w:rsid w:val="00B20462"/>
    <w:rsid w:val="00B546CF"/>
    <w:rsid w:val="00B65D92"/>
    <w:rsid w:val="00B84E11"/>
    <w:rsid w:val="00BA61F1"/>
    <w:rsid w:val="00BC4643"/>
    <w:rsid w:val="00C01E6F"/>
    <w:rsid w:val="00C86C48"/>
    <w:rsid w:val="00C9758A"/>
    <w:rsid w:val="00CA2D3E"/>
    <w:rsid w:val="00CA4C08"/>
    <w:rsid w:val="00CA74D7"/>
    <w:rsid w:val="00CC28BC"/>
    <w:rsid w:val="00CD7069"/>
    <w:rsid w:val="00D1777E"/>
    <w:rsid w:val="00D63CD3"/>
    <w:rsid w:val="00D71027"/>
    <w:rsid w:val="00DB7651"/>
    <w:rsid w:val="00DE660A"/>
    <w:rsid w:val="00E43145"/>
    <w:rsid w:val="00E707A3"/>
    <w:rsid w:val="00EB6678"/>
    <w:rsid w:val="00EF333D"/>
    <w:rsid w:val="00F05C01"/>
    <w:rsid w:val="00F069C3"/>
    <w:rsid w:val="00F06C5E"/>
    <w:rsid w:val="00F15815"/>
    <w:rsid w:val="00F17199"/>
    <w:rsid w:val="00F20443"/>
    <w:rsid w:val="00F4790C"/>
    <w:rsid w:val="00F63191"/>
    <w:rsid w:val="00F64CD1"/>
    <w:rsid w:val="00F927B0"/>
    <w:rsid w:val="00F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B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B3DA-C10F-4F28-8B9C-6ED81C067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AB444-13E6-47AC-BFAF-C9F57E87B4CE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416C0C-75AA-4113-B16E-567046A3A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9D4A8-33E1-42A9-8670-6827CA4E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2014-09-29T13:16:00Z</dcterms:created>
  <dcterms:modified xsi:type="dcterms:W3CDTF">2014-09-29T13:16:00Z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