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9DA41" w14:textId="77777777" w:rsidR="00AD706B" w:rsidRDefault="00AD706B" w:rsidP="00AD706B">
      <w:pPr>
        <w:pStyle w:val="Heading1"/>
      </w:pPr>
      <w:r>
        <w:t>IT-</w:t>
      </w:r>
      <w:r w:rsidR="00D202C3">
        <w:t>11.6</w:t>
      </w:r>
      <w:r>
        <w:t xml:space="preserve">:  </w:t>
      </w:r>
      <w:r w:rsidR="00D202C3" w:rsidRPr="00D202C3">
        <w:t>Follow-up Care for Children Prescribed ADHD Medication (ADD)</w:t>
      </w:r>
    </w:p>
    <w:tbl>
      <w:tblPr>
        <w:tblStyle w:val="TableGrid"/>
        <w:tblW w:w="0" w:type="auto"/>
        <w:tblLayout w:type="fixed"/>
        <w:tblLook w:val="04A0" w:firstRow="1" w:lastRow="0" w:firstColumn="1" w:lastColumn="0" w:noHBand="0" w:noVBand="1"/>
      </w:tblPr>
      <w:tblGrid>
        <w:gridCol w:w="2718"/>
        <w:gridCol w:w="6858"/>
      </w:tblGrid>
      <w:tr w:rsidR="00AD706B" w14:paraId="3BD9DA44" w14:textId="77777777" w:rsidTr="00F96144">
        <w:trPr>
          <w:tblHeader/>
        </w:trPr>
        <w:tc>
          <w:tcPr>
            <w:tcW w:w="2718" w:type="dxa"/>
            <w:shd w:val="clear" w:color="auto" w:fill="F2F2F2" w:themeFill="background1" w:themeFillShade="F2"/>
          </w:tcPr>
          <w:p w14:paraId="3BD9DA42" w14:textId="77777777" w:rsidR="00AD706B" w:rsidRPr="00717546" w:rsidRDefault="00AD706B" w:rsidP="00A374B8">
            <w:pPr>
              <w:pStyle w:val="NoSpacing"/>
              <w:rPr>
                <w:b/>
              </w:rPr>
            </w:pPr>
            <w:r w:rsidRPr="00717546">
              <w:rPr>
                <w:b/>
              </w:rPr>
              <w:t>Measure Title</w:t>
            </w:r>
          </w:p>
        </w:tc>
        <w:tc>
          <w:tcPr>
            <w:tcW w:w="6858" w:type="dxa"/>
            <w:shd w:val="clear" w:color="auto" w:fill="F2F2F2" w:themeFill="background1" w:themeFillShade="F2"/>
          </w:tcPr>
          <w:p w14:paraId="3BD9DA43" w14:textId="35A48FDF" w:rsidR="00AD706B" w:rsidRDefault="0073055B" w:rsidP="0073055B">
            <w:pPr>
              <w:pStyle w:val="NoSpacing"/>
            </w:pPr>
            <w:r w:rsidRPr="00F96144">
              <w:rPr>
                <w:b/>
              </w:rPr>
              <w:t xml:space="preserve">IT-11.6 </w:t>
            </w:r>
            <w:r w:rsidR="00DB6136" w:rsidRPr="00F96144">
              <w:rPr>
                <w:b/>
              </w:rPr>
              <w:t>Follow-up care for children prescribed ADHD medication (ADD): initiation phase</w:t>
            </w:r>
          </w:p>
        </w:tc>
      </w:tr>
      <w:tr w:rsidR="00AD706B" w14:paraId="3BD9DA49" w14:textId="77777777" w:rsidTr="00F96144">
        <w:tc>
          <w:tcPr>
            <w:tcW w:w="2718" w:type="dxa"/>
          </w:tcPr>
          <w:p w14:paraId="3BD9DA45" w14:textId="77777777" w:rsidR="00AD706B" w:rsidRPr="00717546" w:rsidRDefault="00AD706B" w:rsidP="00A374B8">
            <w:pPr>
              <w:pStyle w:val="NoSpacing"/>
              <w:rPr>
                <w:b/>
              </w:rPr>
            </w:pPr>
            <w:r w:rsidRPr="00717546">
              <w:rPr>
                <w:b/>
              </w:rPr>
              <w:t>Description</w:t>
            </w:r>
          </w:p>
        </w:tc>
        <w:tc>
          <w:tcPr>
            <w:tcW w:w="6858" w:type="dxa"/>
          </w:tcPr>
          <w:p w14:paraId="3BD9DA46" w14:textId="05303B14" w:rsidR="00E455C6" w:rsidRDefault="00E455C6" w:rsidP="00E455C6">
            <w:pPr>
              <w:pStyle w:val="NoSpacing"/>
              <w:rPr>
                <w:b/>
              </w:rPr>
            </w:pPr>
            <w:r>
              <w:t xml:space="preserve">The percentage of children newly prescribed attention </w:t>
            </w:r>
            <w:r w:rsidR="00A96F1D">
              <w:t>d</w:t>
            </w:r>
            <w:r>
              <w:t>eficit</w:t>
            </w:r>
            <w:r w:rsidR="00BE4B79">
              <w:t xml:space="preserve"> </w:t>
            </w:r>
            <w:r>
              <w:t>/</w:t>
            </w:r>
            <w:r w:rsidR="00BE4B79">
              <w:t xml:space="preserve"> </w:t>
            </w:r>
            <w:r>
              <w:t xml:space="preserve">hyperactivity disorder (ADHD) medication </w:t>
            </w:r>
            <w:proofErr w:type="gramStart"/>
            <w:r>
              <w:t>who</w:t>
            </w:r>
            <w:proofErr w:type="gramEnd"/>
            <w:r>
              <w:t xml:space="preserve"> had at least three follow-up care visits within a 10-month period, one of which was within 30 days of when the first ADHD medication was dispensed. </w:t>
            </w:r>
            <w:r w:rsidRPr="00A96F1D">
              <w:rPr>
                <w:b/>
              </w:rPr>
              <w:t>Two rates are reported</w:t>
            </w:r>
            <w:r w:rsidR="00BE4B79">
              <w:rPr>
                <w:b/>
              </w:rPr>
              <w:t>:</w:t>
            </w:r>
          </w:p>
          <w:p w14:paraId="377E9860" w14:textId="77777777" w:rsidR="00A96F1D" w:rsidRDefault="00A96F1D" w:rsidP="00E455C6">
            <w:pPr>
              <w:pStyle w:val="NoSpacing"/>
            </w:pPr>
          </w:p>
          <w:p w14:paraId="3BD9DA47" w14:textId="75662255" w:rsidR="00E455C6" w:rsidRPr="00A96F1D" w:rsidRDefault="0073055B" w:rsidP="00E455C6">
            <w:pPr>
              <w:pStyle w:val="NoSpacing"/>
              <w:rPr>
                <w:b/>
              </w:rPr>
            </w:pPr>
            <w:r>
              <w:rPr>
                <w:b/>
              </w:rPr>
              <w:t>Rate #1 (</w:t>
            </w:r>
            <w:r w:rsidR="00E455C6" w:rsidRPr="00A96F1D">
              <w:rPr>
                <w:b/>
              </w:rPr>
              <w:t>Initiation Phase</w:t>
            </w:r>
            <w:r>
              <w:rPr>
                <w:b/>
              </w:rPr>
              <w:t>)</w:t>
            </w:r>
            <w:r w:rsidR="00A96F1D">
              <w:rPr>
                <w:b/>
              </w:rPr>
              <w:t>:</w:t>
            </w:r>
            <w:r w:rsidR="00E455C6">
              <w:t xml:space="preserve"> The percentage of </w:t>
            </w:r>
            <w:r>
              <w:t xml:space="preserve">children </w:t>
            </w:r>
            <w:r w:rsidR="00E455C6">
              <w:t>6–12 years of age as of the IPSD with an ambulatory prescription dispensed for ADHD medication, who had one follow-up visit with practitioner with prescribing authority during the 30-day Initiation Phase.</w:t>
            </w:r>
          </w:p>
          <w:p w14:paraId="535B4822" w14:textId="77777777" w:rsidR="00A96F1D" w:rsidRDefault="00A96F1D" w:rsidP="00E455C6">
            <w:pPr>
              <w:pStyle w:val="NoSpacing"/>
            </w:pPr>
          </w:p>
          <w:p w14:paraId="3BD9DA48" w14:textId="386ECA9E" w:rsidR="00AD706B" w:rsidRDefault="0073055B" w:rsidP="0073055B">
            <w:pPr>
              <w:pStyle w:val="NoSpacing"/>
            </w:pPr>
            <w:r w:rsidRPr="00F96144">
              <w:rPr>
                <w:b/>
              </w:rPr>
              <w:t>Rate #2 (</w:t>
            </w:r>
            <w:r w:rsidR="00E455C6" w:rsidRPr="00A96F1D">
              <w:rPr>
                <w:b/>
              </w:rPr>
              <w:t>Continuation and Maintenance (C&amp;M) Phase</w:t>
            </w:r>
            <w:r>
              <w:rPr>
                <w:b/>
              </w:rPr>
              <w:t>)</w:t>
            </w:r>
            <w:r w:rsidR="00A96F1D">
              <w:t>:</w:t>
            </w:r>
            <w:r w:rsidR="00E455C6">
              <w:t xml:space="preserve"> The percentage of </w:t>
            </w:r>
            <w:r>
              <w:t xml:space="preserve">children </w:t>
            </w:r>
            <w:r w:rsidR="00E455C6">
              <w:t>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w:t>
            </w:r>
          </w:p>
        </w:tc>
      </w:tr>
      <w:tr w:rsidR="00AD706B" w14:paraId="3BD9DA4C" w14:textId="77777777" w:rsidTr="00F96144">
        <w:tc>
          <w:tcPr>
            <w:tcW w:w="2718" w:type="dxa"/>
          </w:tcPr>
          <w:p w14:paraId="3BD9DA4A" w14:textId="77777777" w:rsidR="00AD706B" w:rsidRPr="00717546" w:rsidRDefault="00AD706B" w:rsidP="00A374B8">
            <w:pPr>
              <w:pStyle w:val="NoSpacing"/>
              <w:rPr>
                <w:b/>
              </w:rPr>
            </w:pPr>
            <w:r w:rsidRPr="00717546">
              <w:rPr>
                <w:b/>
              </w:rPr>
              <w:t>NQF Number</w:t>
            </w:r>
          </w:p>
        </w:tc>
        <w:tc>
          <w:tcPr>
            <w:tcW w:w="6858" w:type="dxa"/>
          </w:tcPr>
          <w:p w14:paraId="3BD9DA4B" w14:textId="77777777" w:rsidR="00AD706B" w:rsidRDefault="00E455C6" w:rsidP="00B05CBF">
            <w:pPr>
              <w:pStyle w:val="NoSpacing"/>
            </w:pPr>
            <w:r>
              <w:t>0108</w:t>
            </w:r>
          </w:p>
        </w:tc>
      </w:tr>
      <w:tr w:rsidR="00AD706B" w14:paraId="3BD9DA4F" w14:textId="77777777" w:rsidTr="00F96144">
        <w:tc>
          <w:tcPr>
            <w:tcW w:w="2718" w:type="dxa"/>
          </w:tcPr>
          <w:p w14:paraId="3BD9DA4D" w14:textId="77777777" w:rsidR="00AD706B" w:rsidRPr="00717546" w:rsidRDefault="00AD706B" w:rsidP="00A374B8">
            <w:pPr>
              <w:pStyle w:val="NoSpacing"/>
              <w:rPr>
                <w:b/>
              </w:rPr>
            </w:pPr>
            <w:r>
              <w:rPr>
                <w:b/>
              </w:rPr>
              <w:t>Measure Steward</w:t>
            </w:r>
          </w:p>
        </w:tc>
        <w:tc>
          <w:tcPr>
            <w:tcW w:w="6858" w:type="dxa"/>
          </w:tcPr>
          <w:p w14:paraId="3BD9DA4E" w14:textId="77777777" w:rsidR="00AD706B" w:rsidRPr="00631E85" w:rsidRDefault="00E455C6" w:rsidP="00A374B8">
            <w:pPr>
              <w:pStyle w:val="NoSpacing"/>
            </w:pPr>
            <w:r w:rsidRPr="00E455C6">
              <w:t>National Committee for Quality Assurance</w:t>
            </w:r>
          </w:p>
        </w:tc>
      </w:tr>
      <w:tr w:rsidR="00AD706B" w14:paraId="3BD9DA52" w14:textId="77777777" w:rsidTr="00F96144">
        <w:tc>
          <w:tcPr>
            <w:tcW w:w="2718" w:type="dxa"/>
          </w:tcPr>
          <w:p w14:paraId="3BD9DA50" w14:textId="77777777" w:rsidR="00AD706B" w:rsidRDefault="00AD706B" w:rsidP="00A374B8">
            <w:pPr>
              <w:pStyle w:val="NoSpacing"/>
              <w:rPr>
                <w:b/>
              </w:rPr>
            </w:pPr>
            <w:r>
              <w:rPr>
                <w:b/>
              </w:rPr>
              <w:t>Link to measure citation</w:t>
            </w:r>
          </w:p>
        </w:tc>
        <w:tc>
          <w:tcPr>
            <w:tcW w:w="6858" w:type="dxa"/>
          </w:tcPr>
          <w:p w14:paraId="3BD9DA51" w14:textId="0D5FDEAD" w:rsidR="00AD706B" w:rsidRPr="00631E85" w:rsidRDefault="00B64E2E" w:rsidP="00A374B8">
            <w:pPr>
              <w:pStyle w:val="NoSpacing"/>
            </w:pPr>
            <w:r w:rsidRPr="00B64E2E">
              <w:t>http://www.qualitymeasures.ahrq.gov/content.aspx?id=47193</w:t>
            </w:r>
            <w:r w:rsidR="00D202C3">
              <w:t xml:space="preserve"> </w:t>
            </w:r>
          </w:p>
        </w:tc>
      </w:tr>
      <w:tr w:rsidR="00AD706B" w14:paraId="3BD9DA55" w14:textId="77777777" w:rsidTr="00F96144">
        <w:tc>
          <w:tcPr>
            <w:tcW w:w="2718" w:type="dxa"/>
          </w:tcPr>
          <w:p w14:paraId="3BD9DA53" w14:textId="77777777" w:rsidR="00AD706B" w:rsidRDefault="00AD706B" w:rsidP="00A374B8">
            <w:pPr>
              <w:pStyle w:val="NoSpacing"/>
              <w:rPr>
                <w:b/>
              </w:rPr>
            </w:pPr>
            <w:r>
              <w:rPr>
                <w:b/>
              </w:rPr>
              <w:t>Measure type</w:t>
            </w:r>
          </w:p>
        </w:tc>
        <w:tc>
          <w:tcPr>
            <w:tcW w:w="6858" w:type="dxa"/>
          </w:tcPr>
          <w:p w14:paraId="3BD9DA54" w14:textId="77777777" w:rsidR="00AD706B" w:rsidRDefault="00AD706B" w:rsidP="00E455C6">
            <w:pPr>
              <w:pStyle w:val="NoSpacing"/>
            </w:pPr>
            <w:r>
              <w:t>Stand-alone</w:t>
            </w:r>
            <w:r w:rsidR="00165D76">
              <w:t xml:space="preserve"> (SA</w:t>
            </w:r>
            <w:r w:rsidR="00E455C6">
              <w:t>)</w:t>
            </w:r>
          </w:p>
        </w:tc>
      </w:tr>
      <w:tr w:rsidR="00BA0C94" w14:paraId="3BD9DA58" w14:textId="77777777" w:rsidTr="00F96144">
        <w:tc>
          <w:tcPr>
            <w:tcW w:w="2718" w:type="dxa"/>
          </w:tcPr>
          <w:p w14:paraId="3BD9DA56" w14:textId="31EE4D11" w:rsidR="00BA0C94" w:rsidRDefault="00BA0C94" w:rsidP="00A374B8">
            <w:pPr>
              <w:pStyle w:val="NoSpacing"/>
              <w:rPr>
                <w:b/>
              </w:rPr>
            </w:pPr>
            <w:r>
              <w:rPr>
                <w:b/>
              </w:rPr>
              <w:t>Performance and Achievement Type</w:t>
            </w:r>
          </w:p>
        </w:tc>
        <w:tc>
          <w:tcPr>
            <w:tcW w:w="6858" w:type="dxa"/>
          </w:tcPr>
          <w:p w14:paraId="3D660DCE" w14:textId="77777777" w:rsidR="00BA0C94" w:rsidRDefault="00BA0C94" w:rsidP="008F2943">
            <w:pPr>
              <w:pStyle w:val="NoSpacing"/>
            </w:pPr>
            <w:r>
              <w:t>Pay for Performance (P4P) - QSMIC</w:t>
            </w:r>
          </w:p>
          <w:tbl>
            <w:tblPr>
              <w:tblStyle w:val="TableGrid"/>
              <w:tblW w:w="0" w:type="auto"/>
              <w:tblLayout w:type="fixed"/>
              <w:tblLook w:val="04A0" w:firstRow="1" w:lastRow="0" w:firstColumn="1" w:lastColumn="0" w:noHBand="0" w:noVBand="1"/>
            </w:tblPr>
            <w:tblGrid>
              <w:gridCol w:w="1880"/>
              <w:gridCol w:w="1060"/>
              <w:gridCol w:w="1846"/>
              <w:gridCol w:w="1846"/>
            </w:tblGrid>
            <w:tr w:rsidR="00BA0C94" w14:paraId="294578A7" w14:textId="77777777" w:rsidTr="00F96144">
              <w:tc>
                <w:tcPr>
                  <w:tcW w:w="1880" w:type="dxa"/>
                </w:tcPr>
                <w:p w14:paraId="0F2C6DDB" w14:textId="77777777" w:rsidR="00BA0C94" w:rsidRPr="00791AAE" w:rsidRDefault="00BA0C94" w:rsidP="008F2943">
                  <w:pPr>
                    <w:pStyle w:val="NoSpacing"/>
                    <w:jc w:val="center"/>
                  </w:pPr>
                </w:p>
              </w:tc>
              <w:tc>
                <w:tcPr>
                  <w:tcW w:w="1060" w:type="dxa"/>
                </w:tcPr>
                <w:p w14:paraId="367F321E" w14:textId="77777777" w:rsidR="00BA0C94" w:rsidRPr="00791AAE" w:rsidRDefault="00BA0C94" w:rsidP="008F2943">
                  <w:pPr>
                    <w:pStyle w:val="NoSpacing"/>
                    <w:jc w:val="center"/>
                  </w:pPr>
                  <w:r>
                    <w:t>Baseline</w:t>
                  </w:r>
                </w:p>
              </w:tc>
              <w:tc>
                <w:tcPr>
                  <w:tcW w:w="1846" w:type="dxa"/>
                </w:tcPr>
                <w:p w14:paraId="48B26E48" w14:textId="77777777" w:rsidR="00BA0C94" w:rsidRPr="00791AAE" w:rsidRDefault="00BA0C94" w:rsidP="008F2943">
                  <w:pPr>
                    <w:pStyle w:val="NoSpacing"/>
                    <w:jc w:val="center"/>
                  </w:pPr>
                  <w:r w:rsidRPr="00791AAE">
                    <w:t>DY4</w:t>
                  </w:r>
                </w:p>
                <w:p w14:paraId="003DA1A4" w14:textId="77777777" w:rsidR="00BA0C94" w:rsidRPr="00791AAE" w:rsidRDefault="00BA0C94" w:rsidP="008F2943">
                  <w:pPr>
                    <w:pStyle w:val="NoSpacing"/>
                    <w:jc w:val="center"/>
                  </w:pPr>
                </w:p>
              </w:tc>
              <w:tc>
                <w:tcPr>
                  <w:tcW w:w="1846" w:type="dxa"/>
                </w:tcPr>
                <w:p w14:paraId="576ED01E" w14:textId="77777777" w:rsidR="00BA0C94" w:rsidRPr="00791AAE" w:rsidRDefault="00BA0C94" w:rsidP="008F2943">
                  <w:pPr>
                    <w:pStyle w:val="NoSpacing"/>
                    <w:jc w:val="center"/>
                  </w:pPr>
                  <w:r w:rsidRPr="00791AAE">
                    <w:t>DY5</w:t>
                  </w:r>
                </w:p>
                <w:p w14:paraId="5132E9F0" w14:textId="77777777" w:rsidR="00BA0C94" w:rsidRPr="00791AAE" w:rsidRDefault="00BA0C94" w:rsidP="008F2943">
                  <w:pPr>
                    <w:pStyle w:val="NoSpacing"/>
                    <w:jc w:val="center"/>
                  </w:pPr>
                </w:p>
              </w:tc>
            </w:tr>
            <w:tr w:rsidR="00BA0C94" w14:paraId="5CFA8455" w14:textId="77777777" w:rsidTr="00F96144">
              <w:tc>
                <w:tcPr>
                  <w:tcW w:w="1880" w:type="dxa"/>
                  <w:vMerge w:val="restart"/>
                </w:tcPr>
                <w:p w14:paraId="693257B0" w14:textId="77777777" w:rsidR="00BA0C94" w:rsidRPr="00791AAE" w:rsidRDefault="00BA0C94" w:rsidP="008F2943">
                  <w:pPr>
                    <w:pStyle w:val="NoSpacing"/>
                    <w:jc w:val="center"/>
                  </w:pPr>
                  <w:r>
                    <w:t>Achievement Level Calculations</w:t>
                  </w:r>
                </w:p>
                <w:p w14:paraId="4B5ADD8B" w14:textId="77777777" w:rsidR="00BA0C94" w:rsidRPr="00791AAE" w:rsidRDefault="00BA0C94" w:rsidP="008F2943">
                  <w:pPr>
                    <w:pStyle w:val="NoSpacing"/>
                    <w:jc w:val="center"/>
                  </w:pPr>
                </w:p>
              </w:tc>
              <w:tc>
                <w:tcPr>
                  <w:tcW w:w="1060" w:type="dxa"/>
                </w:tcPr>
                <w:p w14:paraId="77F1F8D5" w14:textId="77777777" w:rsidR="00BA0C94" w:rsidRDefault="00BA0C94" w:rsidP="008F2943">
                  <w:pPr>
                    <w:pStyle w:val="NoSpacing"/>
                    <w:jc w:val="center"/>
                  </w:pPr>
                  <w:r>
                    <w:t>Baseline below MPL</w:t>
                  </w:r>
                </w:p>
              </w:tc>
              <w:tc>
                <w:tcPr>
                  <w:tcW w:w="1846" w:type="dxa"/>
                </w:tcPr>
                <w:p w14:paraId="18E3ED55" w14:textId="77777777" w:rsidR="00BA0C94" w:rsidRPr="00791AAE" w:rsidRDefault="00BA0C94" w:rsidP="008F2943">
                  <w:pPr>
                    <w:pStyle w:val="NoSpacing"/>
                    <w:jc w:val="center"/>
                  </w:pPr>
                  <w:r w:rsidRPr="00F2515D">
                    <w:t>MPL</w:t>
                  </w:r>
                </w:p>
              </w:tc>
              <w:tc>
                <w:tcPr>
                  <w:tcW w:w="1846" w:type="dxa"/>
                </w:tcPr>
                <w:p w14:paraId="7B148335" w14:textId="77777777" w:rsidR="00BA0C94" w:rsidRPr="00791AAE" w:rsidRDefault="00BA0C94" w:rsidP="008F2943">
                  <w:pPr>
                    <w:pStyle w:val="NoSpacing"/>
                    <w:jc w:val="center"/>
                  </w:pPr>
                  <w:r w:rsidRPr="00F2515D">
                    <w:t>MPL + 10%* (HPL-MPL)</w:t>
                  </w:r>
                </w:p>
              </w:tc>
            </w:tr>
            <w:tr w:rsidR="00BA0C94" w14:paraId="540FD577" w14:textId="77777777" w:rsidTr="00F96144">
              <w:tc>
                <w:tcPr>
                  <w:tcW w:w="1880" w:type="dxa"/>
                  <w:vMerge/>
                </w:tcPr>
                <w:p w14:paraId="11B3A94B" w14:textId="77777777" w:rsidR="00BA0C94" w:rsidRPr="00791AAE" w:rsidRDefault="00BA0C94" w:rsidP="008F2943">
                  <w:pPr>
                    <w:pStyle w:val="NoSpacing"/>
                    <w:jc w:val="center"/>
                  </w:pPr>
                </w:p>
              </w:tc>
              <w:tc>
                <w:tcPr>
                  <w:tcW w:w="1060" w:type="dxa"/>
                </w:tcPr>
                <w:p w14:paraId="347251C0" w14:textId="77777777" w:rsidR="00BA0C94" w:rsidRDefault="00BA0C94" w:rsidP="008F2943">
                  <w:pPr>
                    <w:pStyle w:val="NoSpacing"/>
                    <w:jc w:val="center"/>
                  </w:pPr>
                  <w:r>
                    <w:t>Baseline above MPL</w:t>
                  </w:r>
                </w:p>
              </w:tc>
              <w:tc>
                <w:tcPr>
                  <w:tcW w:w="1846" w:type="dxa"/>
                </w:tcPr>
                <w:p w14:paraId="20B712BC" w14:textId="77777777" w:rsidR="00BA0C94" w:rsidRPr="00791AAE" w:rsidRDefault="00BA0C94" w:rsidP="008F2943">
                  <w:pPr>
                    <w:pStyle w:val="NoSpacing"/>
                    <w:jc w:val="center"/>
                  </w:pPr>
                  <w:r>
                    <w:t>B</w:t>
                  </w:r>
                  <w:r w:rsidRPr="00F2515D">
                    <w:t xml:space="preserve">aseline + 10%*(HPL - </w:t>
                  </w:r>
                  <w:r>
                    <w:t>B</w:t>
                  </w:r>
                  <w:r w:rsidRPr="00F2515D">
                    <w:t>aseline)</w:t>
                  </w:r>
                </w:p>
              </w:tc>
              <w:tc>
                <w:tcPr>
                  <w:tcW w:w="1846" w:type="dxa"/>
                </w:tcPr>
                <w:p w14:paraId="2A5683ED" w14:textId="77777777" w:rsidR="00BA0C94" w:rsidRPr="00791AAE" w:rsidRDefault="00BA0C94" w:rsidP="008F2943">
                  <w:pPr>
                    <w:pStyle w:val="NoSpacing"/>
                    <w:jc w:val="center"/>
                  </w:pPr>
                  <w:r>
                    <w:t>B</w:t>
                  </w:r>
                  <w:r w:rsidRPr="00155143">
                    <w:t xml:space="preserve">aseline + 20%*(HPL - </w:t>
                  </w:r>
                  <w:r>
                    <w:t>B</w:t>
                  </w:r>
                  <w:r w:rsidRPr="00155143">
                    <w:t>aseline)</w:t>
                  </w:r>
                </w:p>
              </w:tc>
            </w:tr>
          </w:tbl>
          <w:p w14:paraId="3BD9DA57" w14:textId="1E0F6430" w:rsidR="00BA0C94" w:rsidRDefault="00BA0C94" w:rsidP="00967948">
            <w:pPr>
              <w:pStyle w:val="NoSpacing"/>
            </w:pPr>
          </w:p>
        </w:tc>
      </w:tr>
      <w:tr w:rsidR="00BA0C94" w14:paraId="325F1EAC" w14:textId="77777777" w:rsidTr="00F96144">
        <w:tc>
          <w:tcPr>
            <w:tcW w:w="2718" w:type="dxa"/>
          </w:tcPr>
          <w:p w14:paraId="5E49C405" w14:textId="7E7D232C" w:rsidR="00BA0C94" w:rsidRDefault="00BA0C94" w:rsidP="00A374B8">
            <w:pPr>
              <w:pStyle w:val="NoSpacing"/>
              <w:rPr>
                <w:b/>
              </w:rPr>
            </w:pPr>
            <w:r>
              <w:rPr>
                <w:b/>
              </w:rPr>
              <w:t>Benchmark Description</w:t>
            </w:r>
          </w:p>
        </w:tc>
        <w:tc>
          <w:tcPr>
            <w:tcW w:w="6858" w:type="dxa"/>
          </w:tcPr>
          <w:tbl>
            <w:tblPr>
              <w:tblStyle w:val="TableGrid"/>
              <w:tblW w:w="6637" w:type="dxa"/>
              <w:tblLayout w:type="fixed"/>
              <w:tblLook w:val="04A0" w:firstRow="1" w:lastRow="0" w:firstColumn="1" w:lastColumn="0" w:noHBand="0" w:noVBand="1"/>
            </w:tblPr>
            <w:tblGrid>
              <w:gridCol w:w="3397"/>
              <w:gridCol w:w="3230"/>
              <w:gridCol w:w="10"/>
            </w:tblGrid>
            <w:tr w:rsidR="00BA0C94" w14:paraId="2A74EF34" w14:textId="77777777" w:rsidTr="00F96144">
              <w:trPr>
                <w:gridAfter w:val="1"/>
                <w:wAfter w:w="10" w:type="dxa"/>
              </w:trPr>
              <w:tc>
                <w:tcPr>
                  <w:tcW w:w="6627" w:type="dxa"/>
                  <w:gridSpan w:val="2"/>
                </w:tcPr>
                <w:p w14:paraId="21BB533C" w14:textId="77777777" w:rsidR="00BA0C94" w:rsidRPr="00791AAE" w:rsidRDefault="00BA0C94" w:rsidP="008F2943">
                  <w:pPr>
                    <w:pStyle w:val="NoSpacing"/>
                    <w:jc w:val="center"/>
                  </w:pPr>
                  <w:r w:rsidRPr="00E3780B">
                    <w:t>NCQA- 2013 Accreditation Benchmarks and Thresholds</w:t>
                  </w:r>
                </w:p>
              </w:tc>
            </w:tr>
            <w:tr w:rsidR="00BA0C94" w14:paraId="74BE78C2" w14:textId="77777777" w:rsidTr="00F96144">
              <w:tc>
                <w:tcPr>
                  <w:tcW w:w="3397" w:type="dxa"/>
                </w:tcPr>
                <w:p w14:paraId="63095F87" w14:textId="77777777" w:rsidR="00BA0C94" w:rsidRPr="00791AAE" w:rsidRDefault="00BA0C94" w:rsidP="008F2943">
                  <w:pPr>
                    <w:pStyle w:val="NoSpacing"/>
                    <w:jc w:val="center"/>
                  </w:pPr>
                  <w:r w:rsidRPr="00791AAE">
                    <w:t>HPL (90</w:t>
                  </w:r>
                  <w:r w:rsidRPr="00537ED7">
                    <w:rPr>
                      <w:vertAlign w:val="superscript"/>
                    </w:rPr>
                    <w:t>th</w:t>
                  </w:r>
                  <w:r w:rsidRPr="00791AAE">
                    <w:t xml:space="preserve"> Percentile)</w:t>
                  </w:r>
                </w:p>
              </w:tc>
              <w:tc>
                <w:tcPr>
                  <w:tcW w:w="3240" w:type="dxa"/>
                  <w:gridSpan w:val="2"/>
                </w:tcPr>
                <w:p w14:paraId="79A29C60" w14:textId="056CEC7B" w:rsidR="00BA0C94" w:rsidRDefault="00BA0C94" w:rsidP="008F2943">
                  <w:pPr>
                    <w:pStyle w:val="NoSpacing"/>
                    <w:jc w:val="center"/>
                  </w:pPr>
                  <w:r>
                    <w:t>Initiation Phase: 52.48%</w:t>
                  </w:r>
                </w:p>
                <w:p w14:paraId="6E560303" w14:textId="38CA104E" w:rsidR="00BA0C94" w:rsidRPr="00791AAE" w:rsidRDefault="00BA0C94" w:rsidP="00BA0C94">
                  <w:pPr>
                    <w:pStyle w:val="NoSpacing"/>
                    <w:jc w:val="center"/>
                  </w:pPr>
                  <w:r>
                    <w:t>Continuation Phase: 63.11%</w:t>
                  </w:r>
                </w:p>
              </w:tc>
            </w:tr>
            <w:tr w:rsidR="00BA0C94" w14:paraId="72F540AD" w14:textId="77777777" w:rsidTr="00F96144">
              <w:tc>
                <w:tcPr>
                  <w:tcW w:w="3397" w:type="dxa"/>
                </w:tcPr>
                <w:p w14:paraId="4A2B8F41" w14:textId="77777777" w:rsidR="00BA0C94" w:rsidRPr="00791AAE" w:rsidRDefault="00BA0C94" w:rsidP="008F2943">
                  <w:pPr>
                    <w:pStyle w:val="NoSpacing"/>
                    <w:jc w:val="center"/>
                  </w:pPr>
                  <w:r>
                    <w:t>MPL (25</w:t>
                  </w:r>
                  <w:r w:rsidRPr="00791AAE">
                    <w:rPr>
                      <w:vertAlign w:val="superscript"/>
                    </w:rPr>
                    <w:t>th</w:t>
                  </w:r>
                  <w:r w:rsidRPr="00791AAE">
                    <w:t xml:space="preserve"> Percentile)</w:t>
                  </w:r>
                  <w:r>
                    <w:t xml:space="preserve"> or 10</w:t>
                  </w:r>
                  <w:r w:rsidRPr="001967CC">
                    <w:rPr>
                      <w:vertAlign w:val="superscript"/>
                    </w:rPr>
                    <w:t>th</w:t>
                  </w:r>
                  <w:r>
                    <w:t xml:space="preserve"> if applicable</w:t>
                  </w:r>
                </w:p>
              </w:tc>
              <w:tc>
                <w:tcPr>
                  <w:tcW w:w="3240" w:type="dxa"/>
                  <w:gridSpan w:val="2"/>
                </w:tcPr>
                <w:p w14:paraId="7E1C4364" w14:textId="4FB83AD2" w:rsidR="00BA0C94" w:rsidRDefault="00BA0C94" w:rsidP="00BA0C94">
                  <w:pPr>
                    <w:pStyle w:val="NoSpacing"/>
                    <w:jc w:val="center"/>
                  </w:pPr>
                  <w:r>
                    <w:t>Initiation Phase: 32.93%</w:t>
                  </w:r>
                </w:p>
                <w:p w14:paraId="64498161" w14:textId="429608E0" w:rsidR="00BA0C94" w:rsidRPr="00791AAE" w:rsidRDefault="00BA0C94" w:rsidP="00BA0C94">
                  <w:pPr>
                    <w:pStyle w:val="NoSpacing"/>
                    <w:jc w:val="center"/>
                  </w:pPr>
                  <w:r>
                    <w:t>Continuation Phase: 38.36%</w:t>
                  </w:r>
                </w:p>
              </w:tc>
            </w:tr>
          </w:tbl>
          <w:p w14:paraId="4EF1EEB3" w14:textId="77777777" w:rsidR="00BA0C94" w:rsidRDefault="00BA0C94" w:rsidP="00967948">
            <w:pPr>
              <w:pStyle w:val="NoSpacing"/>
            </w:pPr>
          </w:p>
        </w:tc>
      </w:tr>
      <w:tr w:rsidR="00AD706B" w14:paraId="3BD9DA5E" w14:textId="77777777" w:rsidTr="00F96144">
        <w:tc>
          <w:tcPr>
            <w:tcW w:w="2718" w:type="dxa"/>
          </w:tcPr>
          <w:p w14:paraId="3BD9DA59" w14:textId="77777777" w:rsidR="00AD706B" w:rsidRPr="00717546" w:rsidRDefault="00AD706B" w:rsidP="00A374B8">
            <w:pPr>
              <w:pStyle w:val="NoSpacing"/>
              <w:rPr>
                <w:b/>
              </w:rPr>
            </w:pPr>
            <w:r>
              <w:rPr>
                <w:b/>
              </w:rPr>
              <w:t>DSRIP-specific modifications to Measure Steward’s specification</w:t>
            </w:r>
          </w:p>
        </w:tc>
        <w:tc>
          <w:tcPr>
            <w:tcW w:w="6858" w:type="dxa"/>
          </w:tcPr>
          <w:p w14:paraId="3BD9DA5A" w14:textId="77777777" w:rsidR="00BD4623" w:rsidRDefault="00BD4623" w:rsidP="00BD4623">
            <w:pPr>
              <w:pStyle w:val="NoSpacing"/>
            </w:pPr>
            <w:r>
              <w:t>The Measure Steward’s specification has been modified as follows:</w:t>
            </w:r>
          </w:p>
          <w:p w14:paraId="3BD9DA5B" w14:textId="77777777" w:rsidR="00BD4623" w:rsidRDefault="00BD4623" w:rsidP="00BD4623">
            <w:pPr>
              <w:pStyle w:val="NoSpacing"/>
              <w:numPr>
                <w:ilvl w:val="0"/>
                <w:numId w:val="12"/>
              </w:numPr>
            </w:pPr>
            <w:r>
              <w:t xml:space="preserve">Changed references to “members” to </w:t>
            </w:r>
            <w:r w:rsidR="00EC23A4">
              <w:t>“patients”</w:t>
            </w:r>
          </w:p>
          <w:p w14:paraId="3BD9DA5C" w14:textId="77777777" w:rsidR="00EC23A4" w:rsidRDefault="00EC23A4" w:rsidP="00BD4623">
            <w:pPr>
              <w:pStyle w:val="NoSpacing"/>
              <w:numPr>
                <w:ilvl w:val="0"/>
                <w:numId w:val="12"/>
              </w:numPr>
            </w:pPr>
            <w:r>
              <w:t>Removed reference to continuous enrollment requirement</w:t>
            </w:r>
          </w:p>
          <w:p w14:paraId="3BD9DA5D" w14:textId="761BBA7C" w:rsidR="0010490A" w:rsidRDefault="0010490A" w:rsidP="00A96F1D">
            <w:pPr>
              <w:pStyle w:val="NoSpacing"/>
              <w:ind w:left="720"/>
            </w:pPr>
          </w:p>
        </w:tc>
      </w:tr>
      <w:tr w:rsidR="00AD706B" w14:paraId="3BD9DA61" w14:textId="77777777" w:rsidTr="00F96144">
        <w:tc>
          <w:tcPr>
            <w:tcW w:w="2718" w:type="dxa"/>
          </w:tcPr>
          <w:p w14:paraId="3BD9DA5F" w14:textId="77777777" w:rsidR="00AD706B" w:rsidRPr="00717546" w:rsidRDefault="00AD706B" w:rsidP="001D6BEA">
            <w:pPr>
              <w:pStyle w:val="NoSpacing"/>
              <w:rPr>
                <w:b/>
              </w:rPr>
            </w:pPr>
            <w:r w:rsidRPr="00717546">
              <w:rPr>
                <w:b/>
              </w:rPr>
              <w:lastRenderedPageBreak/>
              <w:t>Denominator</w:t>
            </w:r>
            <w:r w:rsidR="00C01E6F">
              <w:rPr>
                <w:b/>
              </w:rPr>
              <w:t xml:space="preserve"> </w:t>
            </w:r>
            <w:r w:rsidR="00B05CBF">
              <w:rPr>
                <w:b/>
              </w:rPr>
              <w:t>Description</w:t>
            </w:r>
            <w:r w:rsidR="00C01E6F">
              <w:rPr>
                <w:b/>
              </w:rPr>
              <w:t xml:space="preserve"> </w:t>
            </w:r>
          </w:p>
        </w:tc>
        <w:tc>
          <w:tcPr>
            <w:tcW w:w="6858" w:type="dxa"/>
          </w:tcPr>
          <w:p w14:paraId="6BF855CC" w14:textId="17A8C420" w:rsidR="00AD706B" w:rsidRDefault="00B64E2E" w:rsidP="00B64E2E">
            <w:pPr>
              <w:pStyle w:val="NoSpacing"/>
            </w:pPr>
            <w:r w:rsidRPr="00B64E2E">
              <w:rPr>
                <w:b/>
              </w:rPr>
              <w:t>Initiation</w:t>
            </w:r>
            <w:r w:rsidRPr="00F96144">
              <w:rPr>
                <w:b/>
              </w:rPr>
              <w:t xml:space="preserve"> Phase:</w:t>
            </w:r>
            <w:r>
              <w:t xml:space="preserve"> </w:t>
            </w:r>
            <w:r w:rsidR="00EF00B3">
              <w:t>Patients</w:t>
            </w:r>
            <w:r w:rsidR="00EF00B3" w:rsidRPr="00EF00B3">
              <w:t xml:space="preserve"> 6 years as of March 1 of the year prior to the measurement year to 12 years as of February </w:t>
            </w:r>
            <w:r w:rsidRPr="00EF00B3">
              <w:t>2</w:t>
            </w:r>
            <w:r>
              <w:t>8</w:t>
            </w:r>
            <w:r w:rsidRPr="00EF00B3">
              <w:t xml:space="preserve"> </w:t>
            </w:r>
            <w:r w:rsidR="00EF00B3" w:rsidRPr="00EF00B3">
              <w:t xml:space="preserve">of the measurement year who were dispensed an attention deficit/hyperactivity disorder (ADHD) medication during the 12-month Intake Period </w:t>
            </w:r>
          </w:p>
          <w:p w14:paraId="31005438" w14:textId="77777777" w:rsidR="00B64E2E" w:rsidRDefault="00B64E2E" w:rsidP="00B64E2E">
            <w:pPr>
              <w:pStyle w:val="NoSpacing"/>
            </w:pPr>
          </w:p>
          <w:p w14:paraId="3BD9DA60" w14:textId="6F771B01" w:rsidR="00B64E2E" w:rsidRPr="009F7E66" w:rsidRDefault="00B64E2E" w:rsidP="00B64E2E">
            <w:pPr>
              <w:pStyle w:val="NoSpacing"/>
            </w:pPr>
            <w:r>
              <w:t>Continuation Phase: Patients</w:t>
            </w:r>
            <w:r w:rsidRPr="00EF00B3">
              <w:t xml:space="preserve"> 6 years as of March 1 of the year prior to the measurement year to 12 years as of February 2</w:t>
            </w:r>
            <w:r>
              <w:t>8</w:t>
            </w:r>
            <w:r w:rsidRPr="00EF00B3">
              <w:t xml:space="preserve"> of the measurement year </w:t>
            </w:r>
            <w:r>
              <w:t xml:space="preserve">who had continuous treatment for at least 210 days out of the 300-day period </w:t>
            </w:r>
          </w:p>
        </w:tc>
      </w:tr>
      <w:tr w:rsidR="00B05CBF" w14:paraId="3BD9DA6B" w14:textId="77777777" w:rsidTr="00F96144">
        <w:trPr>
          <w:trHeight w:val="728"/>
        </w:trPr>
        <w:tc>
          <w:tcPr>
            <w:tcW w:w="2718" w:type="dxa"/>
          </w:tcPr>
          <w:p w14:paraId="3BD9DA62" w14:textId="77777777" w:rsidR="00B05CBF" w:rsidRPr="00717546" w:rsidRDefault="00B05CBF" w:rsidP="00C01E6F">
            <w:pPr>
              <w:pStyle w:val="NoSpacing"/>
              <w:rPr>
                <w:b/>
              </w:rPr>
            </w:pPr>
            <w:r>
              <w:rPr>
                <w:b/>
              </w:rPr>
              <w:t>Denominator Inclusions</w:t>
            </w:r>
          </w:p>
        </w:tc>
        <w:tc>
          <w:tcPr>
            <w:tcW w:w="6858" w:type="dxa"/>
          </w:tcPr>
          <w:p w14:paraId="3BD9DA66" w14:textId="77777777" w:rsidR="000D0853" w:rsidRPr="00DB6136" w:rsidRDefault="000D0853" w:rsidP="000D0853">
            <w:pPr>
              <w:numPr>
                <w:ilvl w:val="0"/>
                <w:numId w:val="10"/>
              </w:numPr>
              <w:shd w:val="clear" w:color="auto" w:fill="FFFFFF"/>
              <w:spacing w:line="208" w:lineRule="atLeast"/>
              <w:ind w:left="600"/>
              <w:rPr>
                <w:rFonts w:eastAsia="Times New Roman" w:cs="Times New Roman"/>
                <w:color w:val="333333"/>
              </w:rPr>
            </w:pPr>
            <w:r w:rsidRPr="00410407">
              <w:rPr>
                <w:rFonts w:eastAsia="Times New Roman" w:cs="Times New Roman"/>
                <w:iCs/>
                <w:color w:val="333333"/>
              </w:rPr>
              <w:t>Intake Period</w:t>
            </w:r>
            <w:r w:rsidRPr="00DB6136">
              <w:rPr>
                <w:rFonts w:eastAsia="Times New Roman" w:cs="Times New Roman"/>
                <w:color w:val="333333"/>
              </w:rPr>
              <w:t>: The 12-month window starting March 1 of the year prior to the measurement year and ending February 28 of the measurement year.</w:t>
            </w:r>
          </w:p>
          <w:p w14:paraId="3BD9DA67" w14:textId="77777777" w:rsidR="000D0853" w:rsidRPr="00DB6136" w:rsidRDefault="000D0853" w:rsidP="000D0853">
            <w:pPr>
              <w:numPr>
                <w:ilvl w:val="0"/>
                <w:numId w:val="10"/>
              </w:numPr>
              <w:shd w:val="clear" w:color="auto" w:fill="FFFFFF"/>
              <w:spacing w:line="208" w:lineRule="atLeast"/>
              <w:ind w:left="600"/>
              <w:rPr>
                <w:rFonts w:eastAsia="Times New Roman" w:cs="Times New Roman"/>
                <w:color w:val="333333"/>
              </w:rPr>
            </w:pPr>
            <w:r w:rsidRPr="00410407">
              <w:rPr>
                <w:rFonts w:eastAsia="Times New Roman" w:cs="Times New Roman"/>
                <w:iCs/>
                <w:color w:val="333333"/>
              </w:rPr>
              <w:t>IPSD</w:t>
            </w:r>
            <w:r w:rsidRPr="00DB6136">
              <w:rPr>
                <w:rFonts w:eastAsia="Times New Roman" w:cs="Times New Roman"/>
                <w:color w:val="333333"/>
              </w:rPr>
              <w:t>: The earliest prescription dispensing date for an ADHD medication where the date is in the Intake Period and there is a Negative Medication History.</w:t>
            </w:r>
          </w:p>
          <w:p w14:paraId="3BD9DA6A" w14:textId="7AB2BE5F" w:rsidR="00B05CBF" w:rsidRPr="00BE4B79" w:rsidRDefault="000D0853" w:rsidP="00F96144">
            <w:pPr>
              <w:numPr>
                <w:ilvl w:val="0"/>
                <w:numId w:val="10"/>
              </w:numPr>
              <w:shd w:val="clear" w:color="auto" w:fill="FFFFFF"/>
              <w:spacing w:line="208" w:lineRule="atLeast"/>
              <w:ind w:left="600"/>
              <w:rPr>
                <w:b/>
              </w:rPr>
            </w:pPr>
            <w:r w:rsidRPr="00410407">
              <w:rPr>
                <w:rFonts w:eastAsia="Times New Roman" w:cs="Times New Roman"/>
                <w:iCs/>
                <w:color w:val="333333"/>
              </w:rPr>
              <w:t>Negative Medication History</w:t>
            </w:r>
            <w:r w:rsidRPr="00DB6136">
              <w:rPr>
                <w:rFonts w:eastAsia="Times New Roman" w:cs="Times New Roman"/>
                <w:color w:val="333333"/>
              </w:rPr>
              <w:t>: A period of 120 days (4 months) prior to the IPSD, during which time the member had no ADHD medications dispensed for either new or refill prescriptions.</w:t>
            </w:r>
          </w:p>
        </w:tc>
      </w:tr>
      <w:tr w:rsidR="00B05CBF" w14:paraId="3BD9DA70" w14:textId="77777777" w:rsidTr="00F96144">
        <w:trPr>
          <w:trHeight w:val="710"/>
        </w:trPr>
        <w:tc>
          <w:tcPr>
            <w:tcW w:w="2718" w:type="dxa"/>
          </w:tcPr>
          <w:p w14:paraId="3BD9DA6C" w14:textId="77777777" w:rsidR="00B05CBF" w:rsidRPr="00717546" w:rsidRDefault="00B05CBF" w:rsidP="00C01E6F">
            <w:pPr>
              <w:pStyle w:val="NoSpacing"/>
              <w:rPr>
                <w:b/>
              </w:rPr>
            </w:pPr>
            <w:r>
              <w:rPr>
                <w:b/>
              </w:rPr>
              <w:t>Denominator Exclusions</w:t>
            </w:r>
          </w:p>
        </w:tc>
        <w:tc>
          <w:tcPr>
            <w:tcW w:w="6858" w:type="dxa"/>
          </w:tcPr>
          <w:p w14:paraId="3BD9DA6D" w14:textId="363E44AA" w:rsidR="00EF00B3" w:rsidRDefault="00E52426" w:rsidP="00F96144">
            <w:pPr>
              <w:shd w:val="clear" w:color="auto" w:fill="FFFFFF"/>
              <w:spacing w:line="264" w:lineRule="atLeast"/>
              <w:rPr>
                <w:rFonts w:eastAsia="Times New Roman" w:cs="Times New Roman"/>
              </w:rPr>
            </w:pPr>
            <w:r w:rsidRPr="00F96144">
              <w:rPr>
                <w:rFonts w:eastAsia="Times New Roman" w:cs="Times New Roman"/>
                <w:b/>
              </w:rPr>
              <w:t>Initiation Phase:</w:t>
            </w:r>
            <w:r>
              <w:rPr>
                <w:rFonts w:eastAsia="Times New Roman" w:cs="Times New Roman"/>
              </w:rPr>
              <w:t xml:space="preserve"> </w:t>
            </w:r>
            <w:r w:rsidR="00EF00B3" w:rsidRPr="00EF00B3">
              <w:rPr>
                <w:rFonts w:eastAsia="Times New Roman" w:cs="Times New Roman"/>
              </w:rPr>
              <w:t xml:space="preserve">Exclude </w:t>
            </w:r>
            <w:r>
              <w:rPr>
                <w:rFonts w:eastAsia="Times New Roman" w:cs="Times New Roman"/>
              </w:rPr>
              <w:t>patients</w:t>
            </w:r>
            <w:r w:rsidRPr="00EF00B3">
              <w:rPr>
                <w:rFonts w:eastAsia="Times New Roman" w:cs="Times New Roman"/>
              </w:rPr>
              <w:t xml:space="preserve"> </w:t>
            </w:r>
            <w:r w:rsidR="00EF00B3" w:rsidRPr="00EF00B3">
              <w:rPr>
                <w:rFonts w:eastAsia="Times New Roman" w:cs="Times New Roman"/>
              </w:rPr>
              <w:t>who had an acute inpatient claim/encounter with a principal diagnosis or Diagnosis Related Group (DRG) code for mental health or substance abuse during the 30 days after the IPSD.</w:t>
            </w:r>
          </w:p>
          <w:p w14:paraId="38541956" w14:textId="77777777" w:rsidR="007B0DE8" w:rsidRPr="00EF00B3" w:rsidRDefault="007B0DE8" w:rsidP="00F96144">
            <w:pPr>
              <w:shd w:val="clear" w:color="auto" w:fill="FFFFFF"/>
              <w:spacing w:line="264" w:lineRule="atLeast"/>
              <w:rPr>
                <w:rFonts w:eastAsia="Times New Roman" w:cs="Times New Roman"/>
              </w:rPr>
            </w:pPr>
          </w:p>
          <w:p w14:paraId="4755F87C" w14:textId="0DDCF4DE" w:rsidR="007B0DE8" w:rsidRDefault="00E52426" w:rsidP="00F96144">
            <w:pPr>
              <w:shd w:val="clear" w:color="auto" w:fill="FFFFFF"/>
              <w:spacing w:line="264" w:lineRule="atLeast"/>
              <w:rPr>
                <w:rFonts w:eastAsia="Times New Roman" w:cs="Times New Roman"/>
              </w:rPr>
            </w:pPr>
            <w:r w:rsidRPr="00F96144">
              <w:rPr>
                <w:rFonts w:eastAsia="Times New Roman" w:cs="Times New Roman"/>
                <w:b/>
              </w:rPr>
              <w:t>Continuation Phase:</w:t>
            </w:r>
            <w:r>
              <w:rPr>
                <w:rFonts w:eastAsia="Times New Roman" w:cs="Times New Roman"/>
              </w:rPr>
              <w:t xml:space="preserve"> </w:t>
            </w:r>
            <w:r w:rsidR="00EF00B3" w:rsidRPr="00EF00B3">
              <w:rPr>
                <w:rFonts w:eastAsia="Times New Roman" w:cs="Times New Roman"/>
              </w:rPr>
              <w:t xml:space="preserve">Exclude </w:t>
            </w:r>
            <w:r>
              <w:rPr>
                <w:rFonts w:eastAsia="Times New Roman" w:cs="Times New Roman"/>
              </w:rPr>
              <w:t>patients</w:t>
            </w:r>
            <w:r w:rsidRPr="00EF00B3">
              <w:rPr>
                <w:rFonts w:eastAsia="Times New Roman" w:cs="Times New Roman"/>
              </w:rPr>
              <w:t xml:space="preserve"> </w:t>
            </w:r>
            <w:r w:rsidR="007B0DE8">
              <w:rPr>
                <w:rFonts w:eastAsia="Times New Roman" w:cs="Times New Roman"/>
              </w:rPr>
              <w:t>who had an acute inpatient claim/encounter with a principle diagnosis of mental health substance abuse during the 300 days after the IPSD.</w:t>
            </w:r>
          </w:p>
          <w:p w14:paraId="251D8644" w14:textId="77777777" w:rsidR="007B0DE8" w:rsidRDefault="007B0DE8" w:rsidP="00F96144">
            <w:pPr>
              <w:shd w:val="clear" w:color="auto" w:fill="FFFFFF"/>
              <w:spacing w:line="264" w:lineRule="atLeast"/>
              <w:rPr>
                <w:rFonts w:eastAsia="Times New Roman" w:cs="Times New Roman"/>
              </w:rPr>
            </w:pPr>
          </w:p>
          <w:p w14:paraId="3BD9DA6F" w14:textId="70AAAA95" w:rsidR="00B05CBF" w:rsidRPr="001D6BEA" w:rsidRDefault="007B0DE8" w:rsidP="00F96144">
            <w:pPr>
              <w:shd w:val="clear" w:color="auto" w:fill="FFFFFF"/>
              <w:spacing w:line="264" w:lineRule="atLeast"/>
            </w:pPr>
            <w:r>
              <w:rPr>
                <w:rFonts w:eastAsia="Times New Roman" w:cs="Times New Roman"/>
              </w:rPr>
              <w:t xml:space="preserve">Exclude patients </w:t>
            </w:r>
            <w:r w:rsidR="00EF00B3" w:rsidRPr="00EF00B3">
              <w:rPr>
                <w:rFonts w:eastAsia="Times New Roman" w:cs="Times New Roman"/>
              </w:rPr>
              <w:t>diagnosed with narcolepsy at any point in their medical history. </w:t>
            </w:r>
            <w:r w:rsidR="00EF00B3" w:rsidRPr="00EF00B3">
              <w:rPr>
                <w:rFonts w:eastAsia="Times New Roman" w:cs="Times New Roman"/>
                <w:iCs/>
              </w:rPr>
              <w:t>(Optional)</w:t>
            </w:r>
            <w:bookmarkStart w:id="0" w:name="_GoBack"/>
            <w:bookmarkEnd w:id="0"/>
          </w:p>
        </w:tc>
      </w:tr>
      <w:tr w:rsidR="00D63CD3" w14:paraId="3BD9DA76" w14:textId="77777777" w:rsidTr="00F96144">
        <w:tc>
          <w:tcPr>
            <w:tcW w:w="2718" w:type="dxa"/>
          </w:tcPr>
          <w:p w14:paraId="3BD9DA71" w14:textId="185E1B88" w:rsidR="00D63CD3" w:rsidRDefault="00D63CD3" w:rsidP="00AF103E">
            <w:pPr>
              <w:pStyle w:val="NoSpacing"/>
              <w:rPr>
                <w:b/>
              </w:rPr>
            </w:pPr>
            <w:r>
              <w:rPr>
                <w:b/>
              </w:rPr>
              <w:t>Denominator Size</w:t>
            </w:r>
          </w:p>
        </w:tc>
        <w:tc>
          <w:tcPr>
            <w:tcW w:w="6858" w:type="dxa"/>
          </w:tcPr>
          <w:p w14:paraId="3BD9DA72" w14:textId="1BAC6FE6"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w:t>
            </w:r>
          </w:p>
          <w:p w14:paraId="3BD9DA73" w14:textId="42C2F84B" w:rsidR="0032246B" w:rsidRDefault="0032246B" w:rsidP="0032246B">
            <w:pPr>
              <w:pStyle w:val="NoSpacing"/>
              <w:numPr>
                <w:ilvl w:val="0"/>
                <w:numId w:val="8"/>
              </w:numPr>
            </w:pPr>
            <w:r>
              <w:t xml:space="preserve">For a measurement period </w:t>
            </w:r>
            <w:r w:rsidR="0011709A">
              <w:t xml:space="preserve"> where the </w:t>
            </w:r>
            <w:r>
              <w:t>denominator size is less than or equal to 75, providers must report on all cases. No sampling is allowed.</w:t>
            </w:r>
          </w:p>
          <w:p w14:paraId="3BD9DA74" w14:textId="6BC5E0E2" w:rsidR="0032246B" w:rsidRDefault="0032246B" w:rsidP="0032246B">
            <w:pPr>
              <w:pStyle w:val="NoSpacing"/>
              <w:numPr>
                <w:ilvl w:val="0"/>
                <w:numId w:val="8"/>
              </w:numPr>
            </w:pPr>
            <w:r>
              <w:t xml:space="preserve">For a measurement period </w:t>
            </w:r>
            <w:r w:rsidR="0011709A">
              <w:t xml:space="preserve">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3BD9DA75" w14:textId="23521C8D" w:rsidR="0032246B" w:rsidRPr="001D6BEA" w:rsidRDefault="0032246B" w:rsidP="007C3192">
            <w:pPr>
              <w:pStyle w:val="NoSpacing"/>
              <w:numPr>
                <w:ilvl w:val="0"/>
                <w:numId w:val="8"/>
              </w:numPr>
            </w:pPr>
            <w:r>
              <w:t xml:space="preserve">For a measurement period </w:t>
            </w:r>
            <w:r w:rsidR="0011709A">
              <w:t xml:space="preserve"> where the denominator size</w:t>
            </w:r>
            <w:r>
              <w:t xml:space="preserve"> is greater than </w:t>
            </w:r>
            <w:r w:rsidR="007C3192">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3BD9DA79" w14:textId="77777777" w:rsidTr="00F96144">
        <w:tc>
          <w:tcPr>
            <w:tcW w:w="2718" w:type="dxa"/>
          </w:tcPr>
          <w:p w14:paraId="3BD9DA77" w14:textId="77777777" w:rsidR="00AC3A97" w:rsidRPr="00717546" w:rsidRDefault="00AC3A97" w:rsidP="00AF103E">
            <w:pPr>
              <w:pStyle w:val="NoSpacing"/>
              <w:rPr>
                <w:b/>
              </w:rPr>
            </w:pPr>
            <w:r>
              <w:rPr>
                <w:b/>
              </w:rPr>
              <w:t xml:space="preserve">Numerator Description </w:t>
            </w:r>
          </w:p>
        </w:tc>
        <w:tc>
          <w:tcPr>
            <w:tcW w:w="6858" w:type="dxa"/>
          </w:tcPr>
          <w:p w14:paraId="57E490B9" w14:textId="41F76CEE" w:rsidR="00AC3A97" w:rsidRDefault="00E52426" w:rsidP="00E52426">
            <w:pPr>
              <w:pStyle w:val="NoSpacing"/>
            </w:pPr>
            <w:r w:rsidRPr="00F96144">
              <w:rPr>
                <w:b/>
              </w:rPr>
              <w:t>Initiation Phase:</w:t>
            </w:r>
            <w:r>
              <w:t xml:space="preserve"> </w:t>
            </w:r>
            <w:r w:rsidR="00EF00B3">
              <w:t>Patients</w:t>
            </w:r>
            <w:r w:rsidR="00EF00B3" w:rsidRPr="00EF00B3">
              <w:t xml:space="preserve"> from the denominator with one face-to-face </w:t>
            </w:r>
            <w:r w:rsidR="00EF00B3" w:rsidRPr="00EF00B3">
              <w:lastRenderedPageBreak/>
              <w:t xml:space="preserve">outpatient, intensive outpatient or partial hospitalization follow-up visit with a practitioner with prescribing authority, within 30 days after the Index Prescription Start Date </w:t>
            </w:r>
          </w:p>
          <w:p w14:paraId="7690FDDE" w14:textId="77777777" w:rsidR="00E52426" w:rsidRDefault="00E52426" w:rsidP="00E52426">
            <w:pPr>
              <w:pStyle w:val="NoSpacing"/>
            </w:pPr>
          </w:p>
          <w:p w14:paraId="2564879F" w14:textId="77777777" w:rsidR="00E52426" w:rsidRDefault="00E52426" w:rsidP="00E52426">
            <w:pPr>
              <w:pStyle w:val="NoSpacing"/>
            </w:pPr>
            <w:r w:rsidRPr="00F96144">
              <w:rPr>
                <w:b/>
              </w:rPr>
              <w:t xml:space="preserve">Continuation Phase: </w:t>
            </w:r>
            <w:r>
              <w:t>All patients who meet the following criteria:</w:t>
            </w:r>
          </w:p>
          <w:p w14:paraId="5945FFBE" w14:textId="1135BD67" w:rsidR="00E52426" w:rsidRDefault="00E52426" w:rsidP="00F96144">
            <w:pPr>
              <w:pStyle w:val="NoSpacing"/>
              <w:numPr>
                <w:ilvl w:val="0"/>
                <w:numId w:val="14"/>
              </w:numPr>
            </w:pPr>
            <w:r>
              <w:t>An Initiation Phase visit in the first 30 days</w:t>
            </w:r>
          </w:p>
          <w:p w14:paraId="3BD9DA78" w14:textId="017C7BCD" w:rsidR="00E52426" w:rsidRPr="00E52426" w:rsidRDefault="00E52426" w:rsidP="00F96144">
            <w:pPr>
              <w:pStyle w:val="NoSpacing"/>
              <w:numPr>
                <w:ilvl w:val="0"/>
                <w:numId w:val="14"/>
              </w:numPr>
            </w:pPr>
            <w:r>
              <w:t xml:space="preserve">At least two follow-up visits from 31-300 days (10 months) after the IPSD (one of the two visits may be a telephone visit with practitioner). </w:t>
            </w:r>
          </w:p>
        </w:tc>
      </w:tr>
      <w:tr w:rsidR="00AC3A97" w14:paraId="3BD9DA7E" w14:textId="77777777" w:rsidTr="00F96144">
        <w:tc>
          <w:tcPr>
            <w:tcW w:w="2718" w:type="dxa"/>
          </w:tcPr>
          <w:p w14:paraId="3BD9DA7A" w14:textId="5361CB0B" w:rsidR="00AC3A97" w:rsidRPr="00717546" w:rsidRDefault="00AC3A97" w:rsidP="00AF103E">
            <w:pPr>
              <w:pStyle w:val="NoSpacing"/>
              <w:rPr>
                <w:b/>
              </w:rPr>
            </w:pPr>
            <w:r>
              <w:rPr>
                <w:b/>
              </w:rPr>
              <w:lastRenderedPageBreak/>
              <w:t>Numerator Inclusions</w:t>
            </w:r>
          </w:p>
        </w:tc>
        <w:tc>
          <w:tcPr>
            <w:tcW w:w="6858" w:type="dxa"/>
          </w:tcPr>
          <w:p w14:paraId="3BD9DA7D" w14:textId="3068F3BB" w:rsidR="00AC3A97" w:rsidRPr="0012650D" w:rsidRDefault="00E52426" w:rsidP="00DB6136">
            <w:pPr>
              <w:pStyle w:val="NoSpacing"/>
              <w:rPr>
                <w:b/>
              </w:rPr>
            </w:pPr>
            <w:r w:rsidRPr="00F96144">
              <w:rPr>
                <w:b/>
              </w:rPr>
              <w:t>Initiation Phase:</w:t>
            </w:r>
            <w:r>
              <w:t xml:space="preserve"> </w:t>
            </w:r>
            <w:r w:rsidR="00DB6136">
              <w:t>Do not count a visit on the IPSD visit as the Initiation Phase Visit.</w:t>
            </w:r>
          </w:p>
        </w:tc>
      </w:tr>
      <w:tr w:rsidR="00AC3A97" w14:paraId="3BD9DA81" w14:textId="77777777" w:rsidTr="00F96144">
        <w:tc>
          <w:tcPr>
            <w:tcW w:w="2718" w:type="dxa"/>
          </w:tcPr>
          <w:p w14:paraId="3BD9DA7F" w14:textId="77777777" w:rsidR="00AC3A97" w:rsidRPr="00717546" w:rsidRDefault="00AC3A97" w:rsidP="00AF103E">
            <w:pPr>
              <w:pStyle w:val="NoSpacing"/>
              <w:rPr>
                <w:b/>
              </w:rPr>
            </w:pPr>
            <w:r>
              <w:rPr>
                <w:b/>
              </w:rPr>
              <w:t>Numerator Exclusions</w:t>
            </w:r>
          </w:p>
        </w:tc>
        <w:tc>
          <w:tcPr>
            <w:tcW w:w="6858" w:type="dxa"/>
          </w:tcPr>
          <w:p w14:paraId="3BD9DA80" w14:textId="77777777" w:rsidR="00AC3A97" w:rsidRPr="001D6BEA" w:rsidRDefault="00DB6136" w:rsidP="00AF103E">
            <w:pPr>
              <w:pStyle w:val="NoSpacing"/>
            </w:pPr>
            <w:r w:rsidRPr="00DB6136">
              <w:t>There are no additional numerator/denominator inclusions/exclusions specified by the Measure Steward.</w:t>
            </w:r>
          </w:p>
        </w:tc>
      </w:tr>
      <w:tr w:rsidR="00AD706B" w14:paraId="3BD9DA84" w14:textId="77777777" w:rsidTr="00F96144">
        <w:tc>
          <w:tcPr>
            <w:tcW w:w="2718" w:type="dxa"/>
          </w:tcPr>
          <w:p w14:paraId="3BD9DA82" w14:textId="77777777" w:rsidR="00AD706B" w:rsidRPr="00717546" w:rsidRDefault="00AD706B" w:rsidP="00A374B8">
            <w:pPr>
              <w:pStyle w:val="NoSpacing"/>
              <w:rPr>
                <w:b/>
              </w:rPr>
            </w:pPr>
            <w:r>
              <w:rPr>
                <w:b/>
              </w:rPr>
              <w:t>Setting</w:t>
            </w:r>
          </w:p>
        </w:tc>
        <w:tc>
          <w:tcPr>
            <w:tcW w:w="6858" w:type="dxa"/>
          </w:tcPr>
          <w:p w14:paraId="3BD9DA83" w14:textId="77777777" w:rsidR="00AD706B" w:rsidRDefault="00B158DA" w:rsidP="00CD7069">
            <w:pPr>
              <w:pStyle w:val="NoSpacing"/>
            </w:pPr>
            <w:r>
              <w:t>Ambulatory</w:t>
            </w:r>
          </w:p>
        </w:tc>
      </w:tr>
      <w:tr w:rsidR="00AD706B" w14:paraId="3BD9DA87" w14:textId="77777777" w:rsidTr="00F96144">
        <w:tc>
          <w:tcPr>
            <w:tcW w:w="2718" w:type="dxa"/>
          </w:tcPr>
          <w:p w14:paraId="3BD9DA85" w14:textId="77777777" w:rsidR="00AD706B" w:rsidRDefault="00AD706B" w:rsidP="00A374B8">
            <w:pPr>
              <w:pStyle w:val="NoSpacing"/>
              <w:rPr>
                <w:b/>
              </w:rPr>
            </w:pPr>
            <w:r>
              <w:rPr>
                <w:b/>
              </w:rPr>
              <w:t>Data Source</w:t>
            </w:r>
          </w:p>
        </w:tc>
        <w:tc>
          <w:tcPr>
            <w:tcW w:w="6858" w:type="dxa"/>
          </w:tcPr>
          <w:p w14:paraId="3BD9DA86" w14:textId="77777777" w:rsidR="00AD706B" w:rsidRDefault="00DB6136" w:rsidP="00B158DA">
            <w:pPr>
              <w:pStyle w:val="NoSpacing"/>
            </w:pPr>
            <w:r>
              <w:t xml:space="preserve">Administrative </w:t>
            </w:r>
            <w:r w:rsidR="00B158DA">
              <w:t>claims</w:t>
            </w:r>
          </w:p>
        </w:tc>
      </w:tr>
      <w:tr w:rsidR="00BE4B79" w14:paraId="3BD9DAA6" w14:textId="77777777" w:rsidTr="00F96144">
        <w:tc>
          <w:tcPr>
            <w:tcW w:w="2718" w:type="dxa"/>
          </w:tcPr>
          <w:p w14:paraId="3BD9DA88" w14:textId="7E3702DE" w:rsidR="00BE4B79" w:rsidRPr="00717546" w:rsidRDefault="00BE4B79" w:rsidP="00F05C01">
            <w:pPr>
              <w:pStyle w:val="NoSpacing"/>
              <w:rPr>
                <w:b/>
              </w:rPr>
            </w:pPr>
            <w:r>
              <w:rPr>
                <w:b/>
              </w:rPr>
              <w:t>Allowable Denominator Sub-sets</w:t>
            </w:r>
          </w:p>
        </w:tc>
        <w:tc>
          <w:tcPr>
            <w:tcW w:w="6858" w:type="dxa"/>
          </w:tcPr>
          <w:p w14:paraId="12837078" w14:textId="77777777" w:rsidR="00BE4B79" w:rsidRDefault="00BE4B79" w:rsidP="008F2943">
            <w:pPr>
              <w:pStyle w:val="NoSpacing"/>
            </w:pPr>
            <w:r>
              <w:t>All denominator subsets are permissible for this outcome</w:t>
            </w:r>
          </w:p>
          <w:p w14:paraId="3BD9DAA5" w14:textId="5CC3E560" w:rsidR="00BE4B79" w:rsidRDefault="00BE4B79" w:rsidP="007F7C07">
            <w:pPr>
              <w:pStyle w:val="NoSpacing"/>
            </w:pPr>
            <w:r>
              <w:t> </w:t>
            </w:r>
          </w:p>
        </w:tc>
      </w:tr>
    </w:tbl>
    <w:p w14:paraId="3BD9DAF6" w14:textId="77777777" w:rsidR="00356CF4" w:rsidRPr="008F249E" w:rsidRDefault="00356CF4" w:rsidP="007C7C85">
      <w:pPr>
        <w:pStyle w:val="Heading2"/>
      </w:pPr>
    </w:p>
    <w:sectPr w:rsidR="00356CF4" w:rsidRPr="008F249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9DAFA" w14:textId="77777777" w:rsidR="00032BE1" w:rsidRDefault="00032BE1" w:rsidP="00F63191">
      <w:pPr>
        <w:spacing w:after="0" w:line="240" w:lineRule="auto"/>
      </w:pPr>
      <w:r>
        <w:separator/>
      </w:r>
    </w:p>
  </w:endnote>
  <w:endnote w:type="continuationSeparator" w:id="0">
    <w:p w14:paraId="3BD9DAFB" w14:textId="77777777" w:rsidR="00032BE1" w:rsidRDefault="00032BE1"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C20F8" w14:textId="29320BB3" w:rsidR="00BE4B79" w:rsidRDefault="00BE4B79">
    <w:pPr>
      <w:pStyle w:val="Footer"/>
    </w:pPr>
    <w:r>
      <w:t>09/</w:t>
    </w:r>
    <w:r w:rsidR="00537884">
      <w:t>26</w:t>
    </w:r>
    <w:r>
      <w:t>/14</w:t>
    </w:r>
  </w:p>
  <w:p w14:paraId="6BA52498" w14:textId="77777777" w:rsidR="00BE4B79" w:rsidRDefault="00BE4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9DAF8" w14:textId="77777777" w:rsidR="00032BE1" w:rsidRDefault="00032BE1" w:rsidP="00F63191">
      <w:pPr>
        <w:spacing w:after="0" w:line="240" w:lineRule="auto"/>
      </w:pPr>
      <w:r>
        <w:separator/>
      </w:r>
    </w:p>
  </w:footnote>
  <w:footnote w:type="continuationSeparator" w:id="0">
    <w:p w14:paraId="3BD9DAF9" w14:textId="77777777" w:rsidR="00032BE1" w:rsidRDefault="00032BE1"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9DAFC" w14:textId="0D750899" w:rsidR="00F63191" w:rsidRDefault="00F63191" w:rsidP="00F6319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CE33D0"/>
    <w:multiLevelType w:val="hybridMultilevel"/>
    <w:tmpl w:val="EB1E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52434"/>
    <w:multiLevelType w:val="multilevel"/>
    <w:tmpl w:val="172A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DF5BCA"/>
    <w:multiLevelType w:val="hybridMultilevel"/>
    <w:tmpl w:val="38F0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A790C"/>
    <w:multiLevelType w:val="multilevel"/>
    <w:tmpl w:val="044C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DD0F04"/>
    <w:multiLevelType w:val="hybridMultilevel"/>
    <w:tmpl w:val="61DCD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0"/>
  </w:num>
  <w:num w:numId="4">
    <w:abstractNumId w:val="9"/>
  </w:num>
  <w:num w:numId="5">
    <w:abstractNumId w:val="2"/>
  </w:num>
  <w:num w:numId="6">
    <w:abstractNumId w:val="5"/>
  </w:num>
  <w:num w:numId="7">
    <w:abstractNumId w:val="12"/>
  </w:num>
  <w:num w:numId="8">
    <w:abstractNumId w:val="6"/>
  </w:num>
  <w:num w:numId="9">
    <w:abstractNumId w:val="7"/>
  </w:num>
  <w:num w:numId="10">
    <w:abstractNumId w:val="11"/>
  </w:num>
  <w:num w:numId="11">
    <w:abstractNumId w:val="13"/>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32BE1"/>
    <w:rsid w:val="00086E0E"/>
    <w:rsid w:val="00094B8D"/>
    <w:rsid w:val="000D0853"/>
    <w:rsid w:val="000D1199"/>
    <w:rsid w:val="000D5A2D"/>
    <w:rsid w:val="000E7EED"/>
    <w:rsid w:val="00100A2F"/>
    <w:rsid w:val="0010490A"/>
    <w:rsid w:val="00107C1A"/>
    <w:rsid w:val="0011709A"/>
    <w:rsid w:val="00165D76"/>
    <w:rsid w:val="001D6BEA"/>
    <w:rsid w:val="002224F0"/>
    <w:rsid w:val="00245754"/>
    <w:rsid w:val="00271E53"/>
    <w:rsid w:val="002845C2"/>
    <w:rsid w:val="00290B88"/>
    <w:rsid w:val="002C34AD"/>
    <w:rsid w:val="0032246B"/>
    <w:rsid w:val="00356CF4"/>
    <w:rsid w:val="00366D0B"/>
    <w:rsid w:val="00375652"/>
    <w:rsid w:val="00383516"/>
    <w:rsid w:val="003844DB"/>
    <w:rsid w:val="003A409E"/>
    <w:rsid w:val="003F4E8D"/>
    <w:rsid w:val="00410407"/>
    <w:rsid w:val="00416E44"/>
    <w:rsid w:val="00502BE4"/>
    <w:rsid w:val="00506BC5"/>
    <w:rsid w:val="00536799"/>
    <w:rsid w:val="00537884"/>
    <w:rsid w:val="005802A0"/>
    <w:rsid w:val="005857E6"/>
    <w:rsid w:val="005B79DD"/>
    <w:rsid w:val="005C70A1"/>
    <w:rsid w:val="005D5FC4"/>
    <w:rsid w:val="005F4D43"/>
    <w:rsid w:val="0073055B"/>
    <w:rsid w:val="00743628"/>
    <w:rsid w:val="00760D27"/>
    <w:rsid w:val="007B0DE8"/>
    <w:rsid w:val="007C3192"/>
    <w:rsid w:val="007C728B"/>
    <w:rsid w:val="007C7C85"/>
    <w:rsid w:val="007E0395"/>
    <w:rsid w:val="007F675B"/>
    <w:rsid w:val="007F7C07"/>
    <w:rsid w:val="00823868"/>
    <w:rsid w:val="00827557"/>
    <w:rsid w:val="0088642E"/>
    <w:rsid w:val="00886E0E"/>
    <w:rsid w:val="008A5405"/>
    <w:rsid w:val="008D1A8E"/>
    <w:rsid w:val="008F249E"/>
    <w:rsid w:val="00944654"/>
    <w:rsid w:val="00965A2A"/>
    <w:rsid w:val="009677CB"/>
    <w:rsid w:val="00967948"/>
    <w:rsid w:val="00994A41"/>
    <w:rsid w:val="00996DD5"/>
    <w:rsid w:val="009C6EA3"/>
    <w:rsid w:val="009F7E66"/>
    <w:rsid w:val="00A11BD9"/>
    <w:rsid w:val="00A76428"/>
    <w:rsid w:val="00A82574"/>
    <w:rsid w:val="00A96F1D"/>
    <w:rsid w:val="00AC3A97"/>
    <w:rsid w:val="00AC7B31"/>
    <w:rsid w:val="00AD706B"/>
    <w:rsid w:val="00B05CBF"/>
    <w:rsid w:val="00B158DA"/>
    <w:rsid w:val="00B20462"/>
    <w:rsid w:val="00B546CF"/>
    <w:rsid w:val="00B64E2E"/>
    <w:rsid w:val="00B65D92"/>
    <w:rsid w:val="00B75DF1"/>
    <w:rsid w:val="00BA0C94"/>
    <w:rsid w:val="00BA61F1"/>
    <w:rsid w:val="00BC4643"/>
    <w:rsid w:val="00BD4623"/>
    <w:rsid w:val="00BE4B79"/>
    <w:rsid w:val="00C01E6F"/>
    <w:rsid w:val="00C86C48"/>
    <w:rsid w:val="00C93FB9"/>
    <w:rsid w:val="00C9758A"/>
    <w:rsid w:val="00CA2D3E"/>
    <w:rsid w:val="00CA4C08"/>
    <w:rsid w:val="00CB2EF5"/>
    <w:rsid w:val="00CC28BC"/>
    <w:rsid w:val="00CD7069"/>
    <w:rsid w:val="00D1777E"/>
    <w:rsid w:val="00D202C3"/>
    <w:rsid w:val="00D515B9"/>
    <w:rsid w:val="00D63149"/>
    <w:rsid w:val="00D63CD3"/>
    <w:rsid w:val="00DB6136"/>
    <w:rsid w:val="00DE660A"/>
    <w:rsid w:val="00E43145"/>
    <w:rsid w:val="00E455C6"/>
    <w:rsid w:val="00E52426"/>
    <w:rsid w:val="00EB6678"/>
    <w:rsid w:val="00EC23A4"/>
    <w:rsid w:val="00EC406C"/>
    <w:rsid w:val="00EC456B"/>
    <w:rsid w:val="00EF00B3"/>
    <w:rsid w:val="00EF333D"/>
    <w:rsid w:val="00F05C01"/>
    <w:rsid w:val="00F069C3"/>
    <w:rsid w:val="00F06C5E"/>
    <w:rsid w:val="00F63191"/>
    <w:rsid w:val="00F64CD1"/>
    <w:rsid w:val="00F83C10"/>
    <w:rsid w:val="00F927B0"/>
    <w:rsid w:val="00F9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customStyle="1" w:styleId="apple-converted-space">
    <w:name w:val="apple-converted-space"/>
    <w:basedOn w:val="DefaultParagraphFont"/>
    <w:rsid w:val="00EF00B3"/>
  </w:style>
  <w:style w:type="character" w:styleId="Emphasis">
    <w:name w:val="Emphasis"/>
    <w:basedOn w:val="DefaultParagraphFont"/>
    <w:uiPriority w:val="20"/>
    <w:qFormat/>
    <w:rsid w:val="00EF00B3"/>
    <w:rPr>
      <w:i/>
      <w:iCs/>
    </w:rPr>
  </w:style>
  <w:style w:type="paragraph" w:styleId="NormalWeb">
    <w:name w:val="Normal (Web)"/>
    <w:basedOn w:val="Normal"/>
    <w:uiPriority w:val="99"/>
    <w:semiHidden/>
    <w:unhideWhenUsed/>
    <w:rsid w:val="000D0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0D08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8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customStyle="1" w:styleId="apple-converted-space">
    <w:name w:val="apple-converted-space"/>
    <w:basedOn w:val="DefaultParagraphFont"/>
    <w:rsid w:val="00EF00B3"/>
  </w:style>
  <w:style w:type="character" w:styleId="Emphasis">
    <w:name w:val="Emphasis"/>
    <w:basedOn w:val="DefaultParagraphFont"/>
    <w:uiPriority w:val="20"/>
    <w:qFormat/>
    <w:rsid w:val="00EF00B3"/>
    <w:rPr>
      <w:i/>
      <w:iCs/>
    </w:rPr>
  </w:style>
  <w:style w:type="paragraph" w:styleId="NormalWeb">
    <w:name w:val="Normal (Web)"/>
    <w:basedOn w:val="Normal"/>
    <w:uiPriority w:val="99"/>
    <w:semiHidden/>
    <w:unhideWhenUsed/>
    <w:rsid w:val="000D0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0D08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716439963">
      <w:bodyDiv w:val="1"/>
      <w:marLeft w:val="0"/>
      <w:marRight w:val="0"/>
      <w:marTop w:val="0"/>
      <w:marBottom w:val="0"/>
      <w:divBdr>
        <w:top w:val="none" w:sz="0" w:space="0" w:color="auto"/>
        <w:left w:val="none" w:sz="0" w:space="0" w:color="auto"/>
        <w:bottom w:val="none" w:sz="0" w:space="0" w:color="auto"/>
        <w:right w:val="none" w:sz="0" w:space="0" w:color="auto"/>
      </w:divBdr>
    </w:div>
    <w:div w:id="1578899494">
      <w:bodyDiv w:val="1"/>
      <w:marLeft w:val="0"/>
      <w:marRight w:val="0"/>
      <w:marTop w:val="0"/>
      <w:marBottom w:val="0"/>
      <w:divBdr>
        <w:top w:val="none" w:sz="0" w:space="0" w:color="auto"/>
        <w:left w:val="none" w:sz="0" w:space="0" w:color="auto"/>
        <w:bottom w:val="none" w:sz="0" w:space="0" w:color="auto"/>
        <w:right w:val="none" w:sz="0" w:space="0" w:color="auto"/>
      </w:divBdr>
    </w:div>
    <w:div w:id="17456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F174-BFFC-4794-B98A-5AFF5084F836}">
  <ds:schemaRefs>
    <ds:schemaRef ds:uri="http://schemas.microsoft.com/sharepoint/v3/contenttype/forms"/>
  </ds:schemaRefs>
</ds:datastoreItem>
</file>

<file path=customXml/itemProps2.xml><?xml version="1.0" encoding="utf-8"?>
<ds:datastoreItem xmlns:ds="http://schemas.openxmlformats.org/officeDocument/2006/customXml" ds:itemID="{4B4F2DA8-C94F-40D5-90E0-A554C179D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76F58-A4C1-4890-BF47-91ADE58D7BF8}">
  <ds:schemaRef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D292540-88AB-4C9D-805A-0EE988BE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2</cp:revision>
  <dcterms:created xsi:type="dcterms:W3CDTF">2014-09-26T19:03:00Z</dcterms:created>
  <dcterms:modified xsi:type="dcterms:W3CDTF">2014-09-26T19:03:00Z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