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96" w:rsidRPr="00DD1C68" w:rsidRDefault="003B4EBB" w:rsidP="00DA1196">
      <w:pPr>
        <w:pStyle w:val="Heading1"/>
      </w:pPr>
      <w:bookmarkStart w:id="0" w:name="_GoBack"/>
      <w:bookmarkEnd w:id="0"/>
      <w:r w:rsidRPr="003B4EBB">
        <w:t>IT-10.4.a</w:t>
      </w:r>
      <w:r w:rsidR="00DA1196" w:rsidRPr="00DD1C68">
        <w:t xml:space="preserve">:  </w:t>
      </w:r>
      <w:r w:rsidR="005026C6">
        <w:t>Developmental Profile 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830"/>
      </w:tblGrid>
      <w:tr w:rsidR="00AD706B" w:rsidRPr="005026C6" w:rsidTr="005026C6">
        <w:trPr>
          <w:tblHeader/>
        </w:trPr>
        <w:tc>
          <w:tcPr>
            <w:tcW w:w="2088" w:type="dxa"/>
            <w:shd w:val="clear" w:color="auto" w:fill="F2F2F2"/>
          </w:tcPr>
          <w:p w:rsidR="00AD706B" w:rsidRPr="005026C6" w:rsidRDefault="007C104F" w:rsidP="00CB15B0">
            <w:pPr>
              <w:pStyle w:val="NoSpacing"/>
              <w:rPr>
                <w:rFonts w:cs="Calibri"/>
                <w:b/>
              </w:rPr>
            </w:pPr>
            <w:r w:rsidRPr="005026C6">
              <w:rPr>
                <w:rFonts w:cs="Calibri"/>
                <w:b/>
              </w:rPr>
              <w:t>Tool</w:t>
            </w:r>
            <w:r w:rsidR="00AD706B" w:rsidRPr="005026C6">
              <w:rPr>
                <w:rFonts w:cs="Calibri"/>
                <w:b/>
              </w:rPr>
              <w:t xml:space="preserve"> Title</w:t>
            </w:r>
          </w:p>
        </w:tc>
        <w:tc>
          <w:tcPr>
            <w:tcW w:w="7830" w:type="dxa"/>
            <w:shd w:val="clear" w:color="auto" w:fill="F2F2F2"/>
          </w:tcPr>
          <w:p w:rsidR="00AD706B" w:rsidRPr="005026C6" w:rsidRDefault="003B4EBB" w:rsidP="005026C6">
            <w:pPr>
              <w:spacing w:after="120"/>
              <w:rPr>
                <w:rFonts w:cs="Calibri"/>
                <w:b/>
                <w:color w:val="595959"/>
              </w:rPr>
            </w:pPr>
            <w:r w:rsidRPr="003B4EBB">
              <w:rPr>
                <w:rFonts w:cs="Calibri"/>
                <w:b/>
              </w:rPr>
              <w:t>IT-10.4.a</w:t>
            </w:r>
            <w:r w:rsidR="006B070E" w:rsidRPr="006B070E">
              <w:rPr>
                <w:rFonts w:cs="Calibri"/>
                <w:b/>
              </w:rPr>
              <w:t xml:space="preserve">:  </w:t>
            </w:r>
            <w:r w:rsidR="005026C6" w:rsidRPr="005026C6">
              <w:rPr>
                <w:rFonts w:cs="Calibri"/>
                <w:b/>
              </w:rPr>
              <w:t>Developmental Profile 3</w:t>
            </w:r>
          </w:p>
        </w:tc>
      </w:tr>
      <w:tr w:rsidR="00AD706B" w:rsidRPr="005026C6" w:rsidTr="005026C6">
        <w:tc>
          <w:tcPr>
            <w:tcW w:w="2088" w:type="dxa"/>
          </w:tcPr>
          <w:p w:rsidR="00AD706B" w:rsidRPr="005026C6" w:rsidRDefault="00AD706B" w:rsidP="00CB15B0">
            <w:pPr>
              <w:pStyle w:val="NoSpacing"/>
              <w:rPr>
                <w:rFonts w:cs="Calibri"/>
                <w:b/>
              </w:rPr>
            </w:pPr>
            <w:r w:rsidRPr="005026C6">
              <w:rPr>
                <w:rFonts w:cs="Calibri"/>
                <w:b/>
              </w:rPr>
              <w:t>Description</w:t>
            </w:r>
          </w:p>
        </w:tc>
        <w:tc>
          <w:tcPr>
            <w:tcW w:w="7830" w:type="dxa"/>
          </w:tcPr>
          <w:p w:rsidR="00F44D71" w:rsidRPr="00B00A49" w:rsidRDefault="00154EBB" w:rsidP="00F44D71">
            <w:pPr>
              <w:pStyle w:val="Default"/>
              <w:rPr>
                <w:rFonts w:ascii="Calibri" w:hAnsi="Calibri" w:cs="Calibri"/>
                <w:b/>
                <w:sz w:val="22"/>
                <w:szCs w:val="22"/>
              </w:rPr>
            </w:pPr>
            <w:r w:rsidRPr="005026C6">
              <w:rPr>
                <w:rFonts w:ascii="Calibri" w:hAnsi="Calibri" w:cs="Calibri"/>
                <w:sz w:val="22"/>
                <w:szCs w:val="22"/>
              </w:rPr>
              <w:t xml:space="preserve">The </w:t>
            </w:r>
            <w:r w:rsidR="005026C6" w:rsidRPr="005026C6">
              <w:rPr>
                <w:rFonts w:ascii="Calibri" w:hAnsi="Calibri" w:cs="Calibri"/>
                <w:sz w:val="22"/>
                <w:szCs w:val="22"/>
              </w:rPr>
              <w:t xml:space="preserve">Developmental Profile 3, DP-3, is designed to evaluate children from birth </w:t>
            </w:r>
            <w:r w:rsidR="005026C6" w:rsidRPr="00B00A49">
              <w:rPr>
                <w:rFonts w:ascii="Calibri" w:hAnsi="Calibri" w:cs="Calibri"/>
                <w:sz w:val="22"/>
                <w:szCs w:val="22"/>
              </w:rPr>
              <w:t xml:space="preserve">through age 12 years, 11 months.  The DP-3 includes 180 items, each describing a particular skill.  </w:t>
            </w:r>
            <w:r w:rsidR="005026C6" w:rsidRPr="00B00A49">
              <w:rPr>
                <w:rStyle w:val="Strong"/>
                <w:rFonts w:ascii="Calibri" w:hAnsi="Calibri" w:cs="Calibri"/>
                <w:b w:val="0"/>
                <w:sz w:val="22"/>
                <w:szCs w:val="22"/>
                <w:shd w:val="clear" w:color="auto" w:fill="FDFDFD"/>
              </w:rPr>
              <w:t>The DP-3 provides a General Development score as well as the following 5 scale scores:</w:t>
            </w:r>
          </w:p>
          <w:p w:rsidR="00F44D71" w:rsidRPr="00B00A49" w:rsidRDefault="005026C6" w:rsidP="005026C6">
            <w:pPr>
              <w:pStyle w:val="Default"/>
              <w:numPr>
                <w:ilvl w:val="0"/>
                <w:numId w:val="11"/>
              </w:numPr>
              <w:rPr>
                <w:rFonts w:ascii="Calibri" w:hAnsi="Calibri" w:cs="Calibri"/>
                <w:sz w:val="22"/>
                <w:szCs w:val="22"/>
              </w:rPr>
            </w:pPr>
            <w:r w:rsidRPr="00B00A49">
              <w:rPr>
                <w:rFonts w:ascii="Calibri" w:hAnsi="Calibri" w:cs="Calibri"/>
                <w:sz w:val="22"/>
                <w:szCs w:val="22"/>
              </w:rPr>
              <w:t>Physical</w:t>
            </w:r>
          </w:p>
          <w:p w:rsidR="00F44D71" w:rsidRPr="00B00A49" w:rsidRDefault="005026C6" w:rsidP="005026C6">
            <w:pPr>
              <w:pStyle w:val="Default"/>
              <w:numPr>
                <w:ilvl w:val="0"/>
                <w:numId w:val="11"/>
              </w:numPr>
              <w:rPr>
                <w:rFonts w:ascii="Calibri" w:hAnsi="Calibri" w:cs="Calibri"/>
                <w:sz w:val="22"/>
                <w:szCs w:val="22"/>
              </w:rPr>
            </w:pPr>
            <w:r w:rsidRPr="00B00A49">
              <w:rPr>
                <w:rFonts w:ascii="Calibri" w:hAnsi="Calibri" w:cs="Calibri"/>
                <w:sz w:val="22"/>
                <w:szCs w:val="22"/>
              </w:rPr>
              <w:t>Adaptive Behavior</w:t>
            </w:r>
          </w:p>
          <w:p w:rsidR="00F44D71" w:rsidRPr="00B00A49" w:rsidRDefault="005026C6" w:rsidP="005026C6">
            <w:pPr>
              <w:pStyle w:val="Default"/>
              <w:numPr>
                <w:ilvl w:val="0"/>
                <w:numId w:val="11"/>
              </w:numPr>
              <w:rPr>
                <w:rFonts w:ascii="Calibri" w:hAnsi="Calibri" w:cs="Calibri"/>
                <w:sz w:val="22"/>
                <w:szCs w:val="22"/>
              </w:rPr>
            </w:pPr>
            <w:r w:rsidRPr="00B00A49">
              <w:rPr>
                <w:rFonts w:ascii="Calibri" w:hAnsi="Calibri" w:cs="Calibri"/>
                <w:sz w:val="22"/>
                <w:szCs w:val="22"/>
              </w:rPr>
              <w:t>Social-Emotional</w:t>
            </w:r>
          </w:p>
          <w:p w:rsidR="00866AE9" w:rsidRPr="00B00A49" w:rsidRDefault="005026C6" w:rsidP="005026C6">
            <w:pPr>
              <w:pStyle w:val="Default"/>
              <w:numPr>
                <w:ilvl w:val="0"/>
                <w:numId w:val="11"/>
              </w:numPr>
              <w:rPr>
                <w:rFonts w:ascii="Calibri" w:hAnsi="Calibri" w:cs="Calibri"/>
                <w:sz w:val="22"/>
                <w:szCs w:val="22"/>
              </w:rPr>
            </w:pPr>
            <w:r w:rsidRPr="00B00A49">
              <w:rPr>
                <w:rFonts w:ascii="Calibri" w:hAnsi="Calibri" w:cs="Calibri"/>
                <w:sz w:val="22"/>
                <w:szCs w:val="22"/>
              </w:rPr>
              <w:t>Cognitive</w:t>
            </w:r>
          </w:p>
          <w:p w:rsidR="005026C6" w:rsidRPr="005026C6" w:rsidRDefault="005026C6" w:rsidP="005026C6">
            <w:pPr>
              <w:pStyle w:val="Default"/>
              <w:numPr>
                <w:ilvl w:val="0"/>
                <w:numId w:val="11"/>
              </w:numPr>
              <w:rPr>
                <w:rFonts w:ascii="Calibri" w:hAnsi="Calibri" w:cs="Calibri"/>
                <w:sz w:val="22"/>
                <w:szCs w:val="22"/>
              </w:rPr>
            </w:pPr>
            <w:r w:rsidRPr="005026C6">
              <w:rPr>
                <w:rFonts w:ascii="Calibri" w:hAnsi="Calibri" w:cs="Calibri"/>
                <w:sz w:val="22"/>
                <w:szCs w:val="22"/>
              </w:rPr>
              <w:t>Communication</w:t>
            </w:r>
          </w:p>
          <w:p w:rsidR="008F451B" w:rsidRPr="005026C6" w:rsidRDefault="008F451B" w:rsidP="005026C6">
            <w:pPr>
              <w:pStyle w:val="Default"/>
              <w:ind w:left="720"/>
              <w:rPr>
                <w:rFonts w:ascii="Calibri" w:hAnsi="Calibri" w:cs="Calibri"/>
                <w:sz w:val="22"/>
                <w:szCs w:val="22"/>
              </w:rPr>
            </w:pPr>
          </w:p>
        </w:tc>
      </w:tr>
      <w:tr w:rsidR="000D28C2" w:rsidRPr="005026C6" w:rsidTr="005026C6">
        <w:tc>
          <w:tcPr>
            <w:tcW w:w="2088" w:type="dxa"/>
          </w:tcPr>
          <w:p w:rsidR="000D28C2" w:rsidRPr="005026C6" w:rsidRDefault="000D28C2" w:rsidP="00CB15B0">
            <w:pPr>
              <w:pStyle w:val="NoSpacing"/>
              <w:rPr>
                <w:rFonts w:cs="Calibri"/>
                <w:b/>
              </w:rPr>
            </w:pPr>
            <w:r w:rsidRPr="005026C6">
              <w:rPr>
                <w:rFonts w:cs="Calibri"/>
                <w:b/>
              </w:rPr>
              <w:t>Setting</w:t>
            </w:r>
          </w:p>
        </w:tc>
        <w:tc>
          <w:tcPr>
            <w:tcW w:w="7830" w:type="dxa"/>
          </w:tcPr>
          <w:p w:rsidR="000D28C2" w:rsidRPr="005026C6" w:rsidRDefault="005F3EE8" w:rsidP="00CB15B0">
            <w:pPr>
              <w:pStyle w:val="NoSpacing"/>
              <w:rPr>
                <w:rFonts w:cs="Calibri"/>
              </w:rPr>
            </w:pPr>
            <w:r w:rsidRPr="005026C6">
              <w:t>Multiple</w:t>
            </w:r>
          </w:p>
        </w:tc>
      </w:tr>
      <w:tr w:rsidR="000D28C2" w:rsidRPr="005026C6" w:rsidTr="005026C6">
        <w:tc>
          <w:tcPr>
            <w:tcW w:w="2088" w:type="dxa"/>
          </w:tcPr>
          <w:p w:rsidR="000D28C2" w:rsidRPr="005026C6" w:rsidRDefault="000D28C2" w:rsidP="00CB15B0">
            <w:pPr>
              <w:pStyle w:val="NoSpacing"/>
              <w:rPr>
                <w:rFonts w:cs="Calibri"/>
                <w:b/>
              </w:rPr>
            </w:pPr>
            <w:r w:rsidRPr="005026C6">
              <w:rPr>
                <w:rFonts w:cs="Calibri"/>
                <w:b/>
              </w:rPr>
              <w:t>NQF Number</w:t>
            </w:r>
          </w:p>
        </w:tc>
        <w:tc>
          <w:tcPr>
            <w:tcW w:w="7830" w:type="dxa"/>
          </w:tcPr>
          <w:p w:rsidR="000D28C2" w:rsidRPr="005026C6" w:rsidRDefault="00B00A49" w:rsidP="007C104F">
            <w:pPr>
              <w:pStyle w:val="NoSpacing"/>
              <w:rPr>
                <w:rFonts w:cs="Calibri"/>
                <w:i/>
              </w:rPr>
            </w:pPr>
            <w:r>
              <w:rPr>
                <w:rFonts w:cs="Calibri"/>
                <w:i/>
              </w:rPr>
              <w:t>none</w:t>
            </w:r>
          </w:p>
        </w:tc>
      </w:tr>
      <w:tr w:rsidR="000D28C2" w:rsidRPr="005026C6" w:rsidTr="005026C6">
        <w:tc>
          <w:tcPr>
            <w:tcW w:w="2088" w:type="dxa"/>
          </w:tcPr>
          <w:p w:rsidR="000D28C2" w:rsidRPr="005026C6" w:rsidRDefault="000D28C2" w:rsidP="00CB15B0">
            <w:pPr>
              <w:pStyle w:val="NoSpacing"/>
              <w:rPr>
                <w:rFonts w:cs="Calibri"/>
                <w:b/>
              </w:rPr>
            </w:pPr>
            <w:r w:rsidRPr="005026C6">
              <w:rPr>
                <w:rFonts w:cs="Calibri"/>
                <w:b/>
              </w:rPr>
              <w:t>Measure Steward</w:t>
            </w:r>
            <w:r w:rsidR="00AF3F76" w:rsidRPr="005026C6">
              <w:rPr>
                <w:rFonts w:cs="Calibri"/>
                <w:b/>
              </w:rPr>
              <w:t xml:space="preserve"> or Survey Developer</w:t>
            </w:r>
          </w:p>
        </w:tc>
        <w:tc>
          <w:tcPr>
            <w:tcW w:w="7830" w:type="dxa"/>
          </w:tcPr>
          <w:p w:rsidR="000D28C2" w:rsidRPr="005026C6" w:rsidRDefault="005026C6" w:rsidP="006644C7">
            <w:pPr>
              <w:pStyle w:val="NoSpacing"/>
              <w:rPr>
                <w:rFonts w:cs="Calibri"/>
              </w:rPr>
            </w:pPr>
            <w:r w:rsidRPr="005026C6">
              <w:rPr>
                <w:rFonts w:cs="Calibri"/>
              </w:rPr>
              <w:t xml:space="preserve">Gerald D. </w:t>
            </w:r>
            <w:proofErr w:type="spellStart"/>
            <w:r w:rsidRPr="005026C6">
              <w:rPr>
                <w:rFonts w:cs="Calibri"/>
              </w:rPr>
              <w:t>Alpern</w:t>
            </w:r>
            <w:proofErr w:type="spellEnd"/>
            <w:r w:rsidRPr="005026C6">
              <w:rPr>
                <w:rFonts w:cs="Calibri"/>
              </w:rPr>
              <w:t>, PhD</w:t>
            </w:r>
          </w:p>
        </w:tc>
      </w:tr>
      <w:tr w:rsidR="000D28C2" w:rsidRPr="005026C6" w:rsidTr="005026C6">
        <w:tc>
          <w:tcPr>
            <w:tcW w:w="2088" w:type="dxa"/>
          </w:tcPr>
          <w:p w:rsidR="000D28C2" w:rsidRPr="005026C6" w:rsidRDefault="000D28C2" w:rsidP="007C104F">
            <w:pPr>
              <w:pStyle w:val="NoSpacing"/>
              <w:rPr>
                <w:rFonts w:cs="Calibri"/>
                <w:b/>
              </w:rPr>
            </w:pPr>
            <w:r w:rsidRPr="005026C6">
              <w:rPr>
                <w:rFonts w:cs="Calibri"/>
                <w:b/>
              </w:rPr>
              <w:t xml:space="preserve">Link to </w:t>
            </w:r>
            <w:r w:rsidR="007C104F" w:rsidRPr="005026C6">
              <w:rPr>
                <w:rFonts w:cs="Calibri"/>
                <w:b/>
              </w:rPr>
              <w:t>tool specifications</w:t>
            </w:r>
          </w:p>
        </w:tc>
        <w:tc>
          <w:tcPr>
            <w:tcW w:w="7830" w:type="dxa"/>
          </w:tcPr>
          <w:p w:rsidR="000D28C2" w:rsidRPr="005026C6" w:rsidRDefault="005026C6" w:rsidP="00CB15B0">
            <w:pPr>
              <w:pStyle w:val="NoSpacing"/>
              <w:rPr>
                <w:rFonts w:cs="Calibri"/>
              </w:rPr>
            </w:pPr>
            <w:hyperlink r:id="rId9" w:history="1">
              <w:r w:rsidRPr="005026C6">
                <w:rPr>
                  <w:rStyle w:val="Hyperlink"/>
                  <w:rFonts w:cs="Calibri"/>
                </w:rPr>
                <w:t>http://www.wpspublish.com/store/p/2743/developmental-profile-3-dp-3</w:t>
              </w:r>
            </w:hyperlink>
          </w:p>
          <w:p w:rsidR="005026C6" w:rsidRPr="005026C6" w:rsidRDefault="005026C6" w:rsidP="00CB15B0">
            <w:pPr>
              <w:pStyle w:val="NoSpacing"/>
              <w:rPr>
                <w:rFonts w:cs="Calibri"/>
              </w:rPr>
            </w:pPr>
          </w:p>
        </w:tc>
      </w:tr>
      <w:tr w:rsidR="00DD1C68" w:rsidRPr="005026C6" w:rsidTr="005026C6">
        <w:tc>
          <w:tcPr>
            <w:tcW w:w="2088" w:type="dxa"/>
          </w:tcPr>
          <w:p w:rsidR="00DD1C68" w:rsidRPr="005026C6" w:rsidRDefault="00DD1C68" w:rsidP="00866AE9">
            <w:pPr>
              <w:pStyle w:val="NoSpacing"/>
              <w:rPr>
                <w:rFonts w:cs="Calibri"/>
                <w:b/>
              </w:rPr>
            </w:pPr>
            <w:r w:rsidRPr="005026C6">
              <w:rPr>
                <w:rFonts w:cs="Calibri"/>
                <w:b/>
              </w:rPr>
              <w:t xml:space="preserve">Link to </w:t>
            </w:r>
            <w:r w:rsidR="00866AE9" w:rsidRPr="005026C6">
              <w:rPr>
                <w:rFonts w:cs="Calibri"/>
                <w:b/>
              </w:rPr>
              <w:t>survey</w:t>
            </w:r>
          </w:p>
        </w:tc>
        <w:tc>
          <w:tcPr>
            <w:tcW w:w="7830" w:type="dxa"/>
          </w:tcPr>
          <w:p w:rsidR="00866AE9" w:rsidRPr="005026C6" w:rsidRDefault="005026C6" w:rsidP="005F3EE8">
            <w:pPr>
              <w:pStyle w:val="NoSpacing"/>
              <w:rPr>
                <w:rFonts w:cs="Calibri"/>
              </w:rPr>
            </w:pPr>
            <w:r w:rsidRPr="005026C6">
              <w:rPr>
                <w:rFonts w:cs="Calibri"/>
              </w:rPr>
              <w:t>Not available</w:t>
            </w:r>
          </w:p>
        </w:tc>
      </w:tr>
      <w:tr w:rsidR="000D28C2" w:rsidRPr="005026C6" w:rsidTr="005026C6">
        <w:tc>
          <w:tcPr>
            <w:tcW w:w="2088" w:type="dxa"/>
          </w:tcPr>
          <w:p w:rsidR="000D28C2" w:rsidRPr="005026C6" w:rsidRDefault="000D28C2" w:rsidP="007F1266">
            <w:pPr>
              <w:pStyle w:val="NoSpacing"/>
              <w:rPr>
                <w:rFonts w:cs="Calibri"/>
                <w:b/>
              </w:rPr>
            </w:pPr>
            <w:r w:rsidRPr="005026C6">
              <w:rPr>
                <w:rFonts w:cs="Calibri"/>
                <w:b/>
              </w:rPr>
              <w:t xml:space="preserve">Measure </w:t>
            </w:r>
            <w:r w:rsidR="007F1266" w:rsidRPr="005026C6">
              <w:rPr>
                <w:rFonts w:cs="Calibri"/>
                <w:b/>
              </w:rPr>
              <w:t>t</w:t>
            </w:r>
            <w:r w:rsidRPr="005026C6">
              <w:rPr>
                <w:rFonts w:cs="Calibri"/>
                <w:b/>
              </w:rPr>
              <w:t>ype</w:t>
            </w:r>
          </w:p>
        </w:tc>
        <w:tc>
          <w:tcPr>
            <w:tcW w:w="7830" w:type="dxa"/>
          </w:tcPr>
          <w:p w:rsidR="00866AE9" w:rsidRPr="005026C6" w:rsidRDefault="000D28C2" w:rsidP="00AD706B">
            <w:pPr>
              <w:pStyle w:val="NoSpacing"/>
              <w:rPr>
                <w:rFonts w:cs="Calibri"/>
              </w:rPr>
            </w:pPr>
            <w:r w:rsidRPr="005026C6">
              <w:rPr>
                <w:rFonts w:cs="Calibri"/>
              </w:rPr>
              <w:t>Standalone</w:t>
            </w:r>
          </w:p>
        </w:tc>
      </w:tr>
      <w:tr w:rsidR="00456563" w:rsidRPr="005026C6" w:rsidTr="005026C6">
        <w:tc>
          <w:tcPr>
            <w:tcW w:w="2088" w:type="dxa"/>
          </w:tcPr>
          <w:p w:rsidR="00456563" w:rsidRPr="005026C6" w:rsidRDefault="00456563" w:rsidP="007F1266">
            <w:pPr>
              <w:pStyle w:val="NoSpacing"/>
              <w:rPr>
                <w:rFonts w:cs="Calibri"/>
                <w:b/>
              </w:rPr>
            </w:pPr>
            <w:r w:rsidRPr="004C4E93">
              <w:rPr>
                <w:b/>
              </w:rPr>
              <w:t>Performance and Achievement Type</w:t>
            </w:r>
          </w:p>
        </w:tc>
        <w:tc>
          <w:tcPr>
            <w:tcW w:w="7830" w:type="dxa"/>
          </w:tcPr>
          <w:p w:rsidR="00456563" w:rsidRPr="004C4E93" w:rsidRDefault="00456563" w:rsidP="000E4529">
            <w:pPr>
              <w:pStyle w:val="NoSpacing"/>
            </w:pPr>
            <w:r w:rsidRPr="004C4E93">
              <w:t>Pay for Reporting (P4R)</w:t>
            </w:r>
          </w:p>
          <w:p w:rsidR="00456563" w:rsidRPr="004C4E93" w:rsidRDefault="00456563" w:rsidP="000E4529">
            <w:pPr>
              <w:pStyle w:val="NoSpacing"/>
            </w:pPr>
          </w:p>
          <w:p w:rsidR="00456563" w:rsidRPr="000E4529" w:rsidRDefault="00456563" w:rsidP="000E4529">
            <w:pPr>
              <w:pStyle w:val="NoSpacing"/>
              <w:rPr>
                <w:rFonts w:cs="Calibri"/>
              </w:rPr>
            </w:pPr>
            <w:r w:rsidRPr="000E4529">
              <w:rPr>
                <w:rFonts w:cs="Calibri"/>
              </w:rPr>
              <w:t>Providers will report their baseline, DY4, and DY5 results using one of the following three scenarios. Providers will report which scenario has been selected as part of their survey administration description supporting documentation required for baseline reporting.  Providers may not switch between scenarios in subsequent measurement years.</w:t>
            </w:r>
          </w:p>
          <w:p w:rsidR="00456563" w:rsidRPr="000E4529" w:rsidRDefault="00456563" w:rsidP="000E4529">
            <w:pPr>
              <w:pStyle w:val="NoSpacing"/>
              <w:rPr>
                <w:rFonts w:cs="Calibri"/>
              </w:rPr>
            </w:pPr>
          </w:p>
          <w:p w:rsidR="00456563" w:rsidRPr="000E4529" w:rsidRDefault="00456563" w:rsidP="000E4529">
            <w:pPr>
              <w:pStyle w:val="NoSpacing"/>
              <w:rPr>
                <w:rFonts w:cs="Calibri"/>
              </w:rPr>
            </w:pPr>
            <w:r w:rsidRPr="000E4529">
              <w:rPr>
                <w:rFonts w:cs="Calibri"/>
              </w:rPr>
              <w:t>Scenario 1: Baseline includes pre and posttest scores</w:t>
            </w:r>
          </w:p>
          <w:p w:rsidR="00456563" w:rsidRPr="000E4529" w:rsidRDefault="00456563" w:rsidP="00456563">
            <w:pPr>
              <w:pStyle w:val="ListParagraph"/>
              <w:numPr>
                <w:ilvl w:val="0"/>
                <w:numId w:val="16"/>
              </w:numPr>
              <w:rPr>
                <w:rFonts w:ascii="Calibri" w:hAnsi="Calibri" w:cs="Calibri"/>
                <w:sz w:val="22"/>
              </w:rPr>
            </w:pPr>
            <w:r w:rsidRPr="000E4529">
              <w:rPr>
                <w:rFonts w:ascii="Calibri" w:hAnsi="Calibri" w:cs="Arial"/>
                <w:sz w:val="22"/>
              </w:rPr>
              <w:t xml:space="preserve">In DY3, providers will report the average pretest score of all individuals who complete at least two surveys (pretest and posttest) since the beginning of DY1, with the most recent posttest survey completed during the baseline measurement period, AND the average most recent score of all individuals who completed at least two surveys (pretest and posttest) with the most recent posttest survey completed during baseline measurement period. In DY4 and DY5, providers will report the average most recent posttest score of individuals who completed at least two surveys (pretest and posttest) since the beginning of the baseline measurement period and whose most recent survey was completed during the measurement year. </w:t>
            </w:r>
          </w:p>
          <w:p w:rsidR="00456563" w:rsidRPr="000E4529" w:rsidRDefault="00456563" w:rsidP="000E4529">
            <w:pPr>
              <w:pStyle w:val="ListParagraph"/>
              <w:rPr>
                <w:rFonts w:ascii="Calibri" w:hAnsi="Calibri" w:cs="Calibri"/>
                <w:sz w:val="22"/>
              </w:rPr>
            </w:pPr>
          </w:p>
          <w:p w:rsidR="00456563" w:rsidRPr="000E4529" w:rsidRDefault="00456563" w:rsidP="000E4529">
            <w:pPr>
              <w:pStyle w:val="NoSpacing"/>
              <w:rPr>
                <w:rFonts w:cs="Calibri"/>
              </w:rPr>
            </w:pPr>
            <w:r w:rsidRPr="000E4529">
              <w:rPr>
                <w:rFonts w:cs="Calibri"/>
              </w:rPr>
              <w:t>Scenario 2: Baseline includes pretest scores only</w:t>
            </w:r>
          </w:p>
          <w:p w:rsidR="00456563" w:rsidRPr="000E4529" w:rsidRDefault="00456563" w:rsidP="00456563">
            <w:pPr>
              <w:pStyle w:val="NoSpacing"/>
              <w:numPr>
                <w:ilvl w:val="0"/>
                <w:numId w:val="16"/>
              </w:numPr>
              <w:rPr>
                <w:rFonts w:cs="Calibri"/>
              </w:rPr>
            </w:pPr>
            <w:r w:rsidRPr="000E4529">
              <w:rPr>
                <w:rFonts w:cs="Calibri"/>
              </w:rPr>
              <w:t xml:space="preserve">In DY3, provider will report the average pretest score for all pretests completed during the measurement year. In DY4 and DY5, provider will report the average most recent posttest score of individuals who completed </w:t>
            </w:r>
            <w:r w:rsidRPr="000E4529">
              <w:rPr>
                <w:rFonts w:cs="Calibri"/>
              </w:rPr>
              <w:lastRenderedPageBreak/>
              <w:t xml:space="preserve">at least two surveys (pretest and posttest) since the beginning of baseline reporting, with the most recent posttest survey completed during the measurement year. </w:t>
            </w:r>
          </w:p>
          <w:p w:rsidR="00456563" w:rsidRPr="000E4529" w:rsidRDefault="00456563" w:rsidP="000E4529">
            <w:pPr>
              <w:pStyle w:val="NoSpacing"/>
              <w:tabs>
                <w:tab w:val="left" w:pos="2805"/>
              </w:tabs>
              <w:ind w:left="720"/>
              <w:rPr>
                <w:rFonts w:cs="Calibri"/>
              </w:rPr>
            </w:pPr>
            <w:r w:rsidRPr="000E4529">
              <w:rPr>
                <w:rFonts w:cs="Calibri"/>
              </w:rPr>
              <w:tab/>
            </w:r>
          </w:p>
          <w:p w:rsidR="00456563" w:rsidRPr="000E4529" w:rsidRDefault="00456563" w:rsidP="000E4529">
            <w:pPr>
              <w:pStyle w:val="NoSpacing"/>
              <w:rPr>
                <w:rFonts w:cs="Calibri"/>
              </w:rPr>
            </w:pPr>
            <w:r w:rsidRPr="000E4529">
              <w:rPr>
                <w:rFonts w:cs="Calibri"/>
              </w:rPr>
              <w:t>Scenario 3: No pre/post testing methodology</w:t>
            </w:r>
          </w:p>
          <w:p w:rsidR="00456563" w:rsidRPr="000E4529" w:rsidRDefault="00456563" w:rsidP="00456563">
            <w:pPr>
              <w:pStyle w:val="NoSpacing"/>
              <w:numPr>
                <w:ilvl w:val="0"/>
                <w:numId w:val="16"/>
              </w:numPr>
              <w:rPr>
                <w:rFonts w:cs="Calibri"/>
              </w:rPr>
            </w:pPr>
            <w:r w:rsidRPr="000E4529">
              <w:rPr>
                <w:rFonts w:cs="Calibri"/>
              </w:rPr>
              <w:t xml:space="preserve">In DY3-5, provider will report the average score of all surveys completed during the measurement year. </w:t>
            </w:r>
          </w:p>
          <w:p w:rsidR="00456563" w:rsidRPr="000E4529" w:rsidRDefault="00456563" w:rsidP="000E4529">
            <w:pPr>
              <w:pStyle w:val="NoSpacing"/>
              <w:rPr>
                <w:rFonts w:cs="Calibri"/>
              </w:rPr>
            </w:pPr>
          </w:p>
          <w:p w:rsidR="00456563" w:rsidRPr="000E4529" w:rsidRDefault="00456563" w:rsidP="000E4529">
            <w:pPr>
              <w:pStyle w:val="NoSpacing"/>
              <w:rPr>
                <w:rFonts w:cs="Calibri"/>
              </w:rPr>
            </w:pPr>
            <w:r w:rsidRPr="004C4E93">
              <w:t xml:space="preserve">For guidance on reporting selected scenarios, providers should follow the instructions contained in the “Reporting </w:t>
            </w:r>
            <w:r>
              <w:t>Guidelines for Pre and Postt</w:t>
            </w:r>
            <w:r w:rsidRPr="004C4E93">
              <w:t xml:space="preserve">est Tools” </w:t>
            </w:r>
            <w:r>
              <w:t xml:space="preserve">document located </w:t>
            </w:r>
            <w:r w:rsidRPr="008815CC">
              <w:t xml:space="preserve">on the </w:t>
            </w:r>
            <w:hyperlink r:id="rId10" w:history="1">
              <w:r w:rsidRPr="008815CC">
                <w:rPr>
                  <w:rStyle w:val="Hyperlink"/>
                </w:rPr>
                <w:t>Tools and Guidelines for Regional Healthcare Partnership Participants</w:t>
              </w:r>
            </w:hyperlink>
            <w:r w:rsidRPr="008815CC">
              <w:t xml:space="preserve"> page under Category 3.</w:t>
            </w:r>
          </w:p>
          <w:p w:rsidR="00456563" w:rsidRPr="005026C6" w:rsidRDefault="00456563" w:rsidP="005026C6">
            <w:pPr>
              <w:pStyle w:val="NoSpacing"/>
            </w:pPr>
          </w:p>
        </w:tc>
      </w:tr>
      <w:tr w:rsidR="00DD1C68" w:rsidRPr="005026C6" w:rsidTr="005026C6">
        <w:tc>
          <w:tcPr>
            <w:tcW w:w="2088" w:type="dxa"/>
          </w:tcPr>
          <w:p w:rsidR="00DD1C68" w:rsidRPr="005026C6" w:rsidRDefault="00DD1C68" w:rsidP="0027019B">
            <w:pPr>
              <w:pStyle w:val="NoSpacing"/>
              <w:rPr>
                <w:rFonts w:cs="Calibri"/>
                <w:b/>
              </w:rPr>
            </w:pPr>
            <w:r w:rsidRPr="005026C6">
              <w:rPr>
                <w:rFonts w:cs="Calibri"/>
                <w:b/>
              </w:rPr>
              <w:lastRenderedPageBreak/>
              <w:t>Administration</w:t>
            </w:r>
            <w:r w:rsidR="0027019B" w:rsidRPr="005026C6">
              <w:rPr>
                <w:rFonts w:cs="Calibri"/>
                <w:b/>
              </w:rPr>
              <w:t>:</w:t>
            </w:r>
          </w:p>
        </w:tc>
        <w:tc>
          <w:tcPr>
            <w:tcW w:w="7830" w:type="dxa"/>
          </w:tcPr>
          <w:p w:rsidR="00866AE9" w:rsidRPr="00200976" w:rsidRDefault="0027019B" w:rsidP="00953EC0">
            <w:pPr>
              <w:pStyle w:val="NoSpacing"/>
              <w:rPr>
                <w:rFonts w:cs="Calibri"/>
              </w:rPr>
            </w:pPr>
            <w:r w:rsidRPr="00200976">
              <w:rPr>
                <w:rFonts w:cs="Calibri"/>
                <w:b/>
              </w:rPr>
              <w:t>Mode</w:t>
            </w:r>
            <w:r w:rsidR="00DD1C68" w:rsidRPr="00200976">
              <w:rPr>
                <w:rFonts w:cs="Calibri"/>
                <w:b/>
              </w:rPr>
              <w:t>:</w:t>
            </w:r>
            <w:r w:rsidR="005F3EE8" w:rsidRPr="00200976">
              <w:rPr>
                <w:rFonts w:cs="Calibri"/>
                <w:b/>
              </w:rPr>
              <w:t xml:space="preserve"> </w:t>
            </w:r>
            <w:r w:rsidR="00200976" w:rsidRPr="00200976">
              <w:rPr>
                <w:rFonts w:cs="Calibri"/>
              </w:rPr>
              <w:t xml:space="preserve">The preferred mode is interview.  </w:t>
            </w:r>
            <w:r w:rsidR="00200976" w:rsidRPr="00200976">
              <w:t>When an interview is not possible, the Parent/Caregiver Checklist can be completed by the child’s parent or caregiver without examiner supervision; it contains the same items as the Interview Form</w:t>
            </w:r>
            <w:r w:rsidR="00200976">
              <w:t xml:space="preserve"> </w:t>
            </w:r>
          </w:p>
          <w:p w:rsidR="00DD1C68" w:rsidRPr="00200976" w:rsidRDefault="007C104F" w:rsidP="00953EC0">
            <w:pPr>
              <w:pStyle w:val="NoSpacing"/>
              <w:rPr>
                <w:rFonts w:cs="Calibri"/>
              </w:rPr>
            </w:pPr>
            <w:r w:rsidRPr="00200976">
              <w:rPr>
                <w:rFonts w:cs="Calibri"/>
                <w:b/>
              </w:rPr>
              <w:t xml:space="preserve">Administration </w:t>
            </w:r>
            <w:r w:rsidR="00DD1C68" w:rsidRPr="00200976">
              <w:rPr>
                <w:rFonts w:cs="Calibri"/>
                <w:b/>
              </w:rPr>
              <w:t>Time:</w:t>
            </w:r>
            <w:r w:rsidR="005F3EE8" w:rsidRPr="00200976">
              <w:rPr>
                <w:rFonts w:cs="Calibri"/>
                <w:b/>
              </w:rPr>
              <w:t xml:space="preserve"> </w:t>
            </w:r>
            <w:r w:rsidR="00F44D71" w:rsidRPr="00200976">
              <w:rPr>
                <w:rFonts w:cs="Calibri"/>
                <w:b/>
              </w:rPr>
              <w:t xml:space="preserve"> </w:t>
            </w:r>
            <w:r w:rsidR="00CB15B0" w:rsidRPr="00200976">
              <w:rPr>
                <w:rFonts w:cs="Calibri"/>
              </w:rPr>
              <w:t>20-40</w:t>
            </w:r>
            <w:r w:rsidR="00F44D71" w:rsidRPr="00200976">
              <w:rPr>
                <w:rFonts w:cs="Calibri"/>
              </w:rPr>
              <w:t xml:space="preserve"> minutes</w:t>
            </w:r>
          </w:p>
          <w:p w:rsidR="00DD1C68" w:rsidRPr="00200976" w:rsidRDefault="00866AE9" w:rsidP="00953EC0">
            <w:pPr>
              <w:pStyle w:val="NoSpacing"/>
              <w:rPr>
                <w:rFonts w:cs="Calibri"/>
              </w:rPr>
            </w:pPr>
            <w:r w:rsidRPr="00200976">
              <w:rPr>
                <w:rFonts w:cs="Calibri"/>
                <w:b/>
              </w:rPr>
              <w:t>Language:</w:t>
            </w:r>
            <w:r w:rsidR="006644C7" w:rsidRPr="00200976">
              <w:rPr>
                <w:rFonts w:cs="Calibri"/>
                <w:b/>
              </w:rPr>
              <w:t xml:space="preserve"> </w:t>
            </w:r>
            <w:r w:rsidR="006644C7" w:rsidRPr="00200976">
              <w:rPr>
                <w:rFonts w:cs="Calibri"/>
              </w:rPr>
              <w:t>English</w:t>
            </w:r>
          </w:p>
          <w:p w:rsidR="00B00A49" w:rsidRDefault="00B00A49" w:rsidP="002617FF">
            <w:pPr>
              <w:pStyle w:val="NoSpacing"/>
              <w:rPr>
                <w:rFonts w:cs="Calibri"/>
                <w:b/>
              </w:rPr>
            </w:pPr>
          </w:p>
          <w:p w:rsidR="002617FF" w:rsidRPr="00200976" w:rsidRDefault="00DD1C68" w:rsidP="002617FF">
            <w:pPr>
              <w:pStyle w:val="NoSpacing"/>
              <w:rPr>
                <w:rFonts w:cs="Calibri"/>
              </w:rPr>
            </w:pPr>
            <w:r w:rsidRPr="00200976">
              <w:rPr>
                <w:rFonts w:cs="Calibri"/>
                <w:b/>
              </w:rPr>
              <w:t>Cost:</w:t>
            </w:r>
            <w:r w:rsidR="005F3EE8" w:rsidRPr="00200976">
              <w:rPr>
                <w:rFonts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7"/>
              <w:gridCol w:w="2430"/>
            </w:tblGrid>
            <w:tr w:rsidR="000760E4" w:rsidRPr="005026C6" w:rsidTr="005026C6">
              <w:tc>
                <w:tcPr>
                  <w:tcW w:w="5017" w:type="dxa"/>
                </w:tcPr>
                <w:p w:rsidR="000760E4" w:rsidRPr="005026C6" w:rsidRDefault="00200976" w:rsidP="002617FF">
                  <w:pPr>
                    <w:pStyle w:val="NoSpacing"/>
                    <w:rPr>
                      <w:rFonts w:cs="Calibri"/>
                    </w:rPr>
                  </w:pPr>
                  <w:r>
                    <w:rPr>
                      <w:rFonts w:cs="Calibri"/>
                    </w:rPr>
                    <w:t>DP-3 Complete Kit (includes (DP-3 Manual, 25 interview forms, and 25 Parent/Caregiver Checklists)</w:t>
                  </w:r>
                </w:p>
              </w:tc>
              <w:tc>
                <w:tcPr>
                  <w:tcW w:w="2430" w:type="dxa"/>
                </w:tcPr>
                <w:p w:rsidR="000760E4" w:rsidRPr="005026C6" w:rsidRDefault="00200976" w:rsidP="005026C6">
                  <w:pPr>
                    <w:pStyle w:val="NoSpacing"/>
                    <w:jc w:val="center"/>
                    <w:rPr>
                      <w:rFonts w:cs="Calibri"/>
                    </w:rPr>
                  </w:pPr>
                  <w:r>
                    <w:rPr>
                      <w:rFonts w:cs="Calibri"/>
                    </w:rPr>
                    <w:t>$247</w:t>
                  </w:r>
                  <w:r w:rsidR="000760E4" w:rsidRPr="005026C6">
                    <w:rPr>
                      <w:rFonts w:cs="Calibri"/>
                    </w:rPr>
                    <w:t>.00</w:t>
                  </w:r>
                </w:p>
              </w:tc>
            </w:tr>
          </w:tbl>
          <w:p w:rsidR="002617FF" w:rsidRPr="005026C6" w:rsidRDefault="002617FF" w:rsidP="00200976">
            <w:pPr>
              <w:pStyle w:val="NoSpacing"/>
              <w:rPr>
                <w:rFonts w:cs="Calibri"/>
              </w:rPr>
            </w:pPr>
            <w:r w:rsidRPr="005026C6">
              <w:rPr>
                <w:rFonts w:cs="Calibri"/>
              </w:rPr>
              <w:t>All prices are US dollars and are accurate as of 2014.</w:t>
            </w:r>
          </w:p>
          <w:p w:rsidR="002617FF" w:rsidRPr="005026C6" w:rsidRDefault="002617FF" w:rsidP="002617FF">
            <w:pPr>
              <w:pStyle w:val="NoSpacing"/>
              <w:rPr>
                <w:rFonts w:cs="Calibri"/>
              </w:rPr>
            </w:pPr>
          </w:p>
          <w:p w:rsidR="00200976" w:rsidRDefault="000760E4" w:rsidP="00953EC0">
            <w:pPr>
              <w:pStyle w:val="NoSpacing"/>
              <w:rPr>
                <w:rFonts w:cs="Calibri"/>
              </w:rPr>
            </w:pPr>
            <w:r w:rsidRPr="005026C6">
              <w:rPr>
                <w:rFonts w:cs="Calibri"/>
              </w:rPr>
              <w:t>Items</w:t>
            </w:r>
            <w:r w:rsidR="002617FF" w:rsidRPr="005026C6">
              <w:rPr>
                <w:rFonts w:cs="Calibri"/>
              </w:rPr>
              <w:t xml:space="preserve"> can be purchased at:  </w:t>
            </w:r>
          </w:p>
          <w:p w:rsidR="00200976" w:rsidRPr="005026C6" w:rsidRDefault="00200976" w:rsidP="00200976">
            <w:pPr>
              <w:pStyle w:val="NoSpacing"/>
              <w:rPr>
                <w:rFonts w:cs="Calibri"/>
              </w:rPr>
            </w:pPr>
            <w:hyperlink r:id="rId11" w:history="1">
              <w:r w:rsidRPr="005026C6">
                <w:rPr>
                  <w:rStyle w:val="Hyperlink"/>
                  <w:rFonts w:cs="Calibri"/>
                </w:rPr>
                <w:t>http://www.wpspublish.com/store/p/2743/developmental-profile-3-dp-3</w:t>
              </w:r>
            </w:hyperlink>
          </w:p>
          <w:p w:rsidR="00200976" w:rsidRDefault="00200976" w:rsidP="00953EC0">
            <w:pPr>
              <w:pStyle w:val="NoSpacing"/>
              <w:rPr>
                <w:rFonts w:cs="Calibri"/>
              </w:rPr>
            </w:pPr>
            <w:r>
              <w:rPr>
                <w:rFonts w:cs="Calibri"/>
              </w:rPr>
              <w:t>Or</w:t>
            </w:r>
          </w:p>
          <w:p w:rsidR="00200976" w:rsidRDefault="00200976" w:rsidP="00953EC0">
            <w:pPr>
              <w:pStyle w:val="NoSpacing"/>
              <w:rPr>
                <w:rFonts w:cs="Calibri"/>
              </w:rPr>
            </w:pPr>
            <w:hyperlink r:id="rId12" w:history="1">
              <w:r w:rsidRPr="00805672">
                <w:rPr>
                  <w:rStyle w:val="Hyperlink"/>
                  <w:rFonts w:cs="Calibri"/>
                </w:rPr>
                <w:t>http://www.proedinc.com/customer/productView.aspx?ID=3553</w:t>
              </w:r>
            </w:hyperlink>
          </w:p>
          <w:p w:rsidR="00200976" w:rsidRDefault="00200976" w:rsidP="00953EC0">
            <w:pPr>
              <w:pStyle w:val="NoSpacing"/>
              <w:rPr>
                <w:rFonts w:cs="Calibri"/>
              </w:rPr>
            </w:pPr>
            <w:r>
              <w:rPr>
                <w:rFonts w:cs="Calibri"/>
              </w:rPr>
              <w:t>Or</w:t>
            </w:r>
          </w:p>
          <w:p w:rsidR="002617FF" w:rsidRPr="005026C6" w:rsidRDefault="00200976" w:rsidP="00953EC0">
            <w:pPr>
              <w:pStyle w:val="NoSpacing"/>
              <w:rPr>
                <w:rFonts w:cs="Calibri"/>
              </w:rPr>
            </w:pPr>
            <w:hyperlink r:id="rId13" w:history="1">
              <w:r w:rsidRPr="00805672">
                <w:rPr>
                  <w:rStyle w:val="Hyperlink"/>
                  <w:rFonts w:cs="Calibri"/>
                </w:rPr>
                <w:t>http://www4.parinc.com/Products/Product.aspx?ProductID=DP-3</w:t>
              </w:r>
            </w:hyperlink>
          </w:p>
          <w:p w:rsidR="00D2049F" w:rsidRPr="005026C6" w:rsidRDefault="00D2049F" w:rsidP="00200976">
            <w:pPr>
              <w:pStyle w:val="NoSpacing"/>
              <w:rPr>
                <w:rFonts w:cs="Calibri"/>
              </w:rPr>
            </w:pPr>
          </w:p>
        </w:tc>
      </w:tr>
      <w:tr w:rsidR="00AF3F76" w:rsidRPr="005026C6" w:rsidTr="005026C6">
        <w:tc>
          <w:tcPr>
            <w:tcW w:w="2088" w:type="dxa"/>
          </w:tcPr>
          <w:p w:rsidR="00AF3F76" w:rsidRPr="005026C6" w:rsidRDefault="00AF3F76" w:rsidP="007F1266">
            <w:pPr>
              <w:pStyle w:val="NoSpacing"/>
              <w:rPr>
                <w:rFonts w:cs="Calibri"/>
                <w:b/>
              </w:rPr>
            </w:pPr>
            <w:r w:rsidRPr="005026C6">
              <w:rPr>
                <w:rFonts w:cs="Calibri"/>
                <w:b/>
              </w:rPr>
              <w:t>Scoring</w:t>
            </w:r>
          </w:p>
        </w:tc>
        <w:tc>
          <w:tcPr>
            <w:tcW w:w="7830" w:type="dxa"/>
          </w:tcPr>
          <w:p w:rsidR="00B07279" w:rsidRDefault="00200976" w:rsidP="00B07279">
            <w:pPr>
              <w:pStyle w:val="NoSpacing"/>
              <w:rPr>
                <w:rFonts w:cs="Calibri"/>
              </w:rPr>
            </w:pPr>
            <w:r>
              <w:rPr>
                <w:rFonts w:cs="Calibri"/>
              </w:rPr>
              <w:t>180</w:t>
            </w:r>
            <w:r w:rsidR="00F44D71" w:rsidRPr="005026C6">
              <w:rPr>
                <w:rFonts w:cs="Calibri"/>
              </w:rPr>
              <w:t xml:space="preserve"> items. </w:t>
            </w:r>
            <w:r>
              <w:rPr>
                <w:rFonts w:cs="Calibri"/>
              </w:rPr>
              <w:t>Respondent simply indicates whether or not the child has mastered the skill in question.  The DP-3 provides a General Development score as well as the following scale scores</w:t>
            </w:r>
          </w:p>
          <w:p w:rsidR="00200976" w:rsidRPr="00B07279" w:rsidRDefault="00200976" w:rsidP="00B07279">
            <w:pPr>
              <w:pStyle w:val="NoSpacing"/>
              <w:numPr>
                <w:ilvl w:val="0"/>
                <w:numId w:val="15"/>
              </w:numPr>
              <w:rPr>
                <w:rFonts w:cs="Calibri"/>
              </w:rPr>
            </w:pPr>
            <w:r w:rsidRPr="00200976">
              <w:rPr>
                <w:rFonts w:eastAsia="Times New Roman"/>
                <w:b/>
                <w:bCs/>
              </w:rPr>
              <w:t>Physical:</w:t>
            </w:r>
            <w:r w:rsidRPr="00200976">
              <w:rPr>
                <w:rFonts w:eastAsia="Times New Roman"/>
              </w:rPr>
              <w:t xml:space="preserve"> Large- and small-muscle coordination, strength, stamina, flexibility, and sequential motor skills</w:t>
            </w:r>
          </w:p>
          <w:p w:rsidR="00200976" w:rsidRPr="00200976" w:rsidRDefault="00200976" w:rsidP="00200976">
            <w:pPr>
              <w:numPr>
                <w:ilvl w:val="0"/>
                <w:numId w:val="14"/>
              </w:numPr>
              <w:spacing w:before="100" w:beforeAutospacing="1" w:after="100" w:afterAutospacing="1" w:line="240" w:lineRule="auto"/>
              <w:rPr>
                <w:rFonts w:eastAsia="Times New Roman"/>
              </w:rPr>
            </w:pPr>
            <w:r w:rsidRPr="00200976">
              <w:rPr>
                <w:rFonts w:eastAsia="Times New Roman"/>
                <w:b/>
                <w:bCs/>
              </w:rPr>
              <w:t>Adaptive Behavior:</w:t>
            </w:r>
            <w:r w:rsidRPr="00200976">
              <w:rPr>
                <w:rFonts w:eastAsia="Times New Roman"/>
              </w:rPr>
              <w:t xml:space="preserve"> Ability to cope independently with the environment—to eat, dress, work, use current technology, and take care of self and others</w:t>
            </w:r>
          </w:p>
          <w:p w:rsidR="00200976" w:rsidRPr="00200976" w:rsidRDefault="00200976" w:rsidP="00200976">
            <w:pPr>
              <w:numPr>
                <w:ilvl w:val="0"/>
                <w:numId w:val="14"/>
              </w:numPr>
              <w:spacing w:before="100" w:beforeAutospacing="1" w:after="100" w:afterAutospacing="1" w:line="240" w:lineRule="auto"/>
              <w:rPr>
                <w:rFonts w:eastAsia="Times New Roman"/>
              </w:rPr>
            </w:pPr>
            <w:r w:rsidRPr="00200976">
              <w:rPr>
                <w:rFonts w:eastAsia="Times New Roman"/>
                <w:b/>
                <w:bCs/>
              </w:rPr>
              <w:t>Social-Emotional:</w:t>
            </w:r>
            <w:r w:rsidRPr="00200976">
              <w:rPr>
                <w:rFonts w:eastAsia="Times New Roman"/>
              </w:rPr>
              <w:t xml:space="preserve"> Interpersonal skills, social/emotional understanding, functioning in social situations, manner in which child relates to peers and adults</w:t>
            </w:r>
          </w:p>
          <w:p w:rsidR="00200976" w:rsidRPr="00200976" w:rsidRDefault="00200976" w:rsidP="00200976">
            <w:pPr>
              <w:numPr>
                <w:ilvl w:val="0"/>
                <w:numId w:val="14"/>
              </w:numPr>
              <w:spacing w:before="100" w:beforeAutospacing="1" w:after="100" w:afterAutospacing="1" w:line="240" w:lineRule="auto"/>
              <w:rPr>
                <w:rFonts w:eastAsia="Times New Roman"/>
              </w:rPr>
            </w:pPr>
            <w:r w:rsidRPr="00200976">
              <w:rPr>
                <w:rFonts w:eastAsia="Times New Roman"/>
                <w:b/>
                <w:bCs/>
              </w:rPr>
              <w:t>Cognitive:</w:t>
            </w:r>
            <w:r w:rsidRPr="00200976">
              <w:rPr>
                <w:rFonts w:eastAsia="Times New Roman"/>
              </w:rPr>
              <w:t xml:space="preserve"> Intellectual abilities and skills prerequisite to academic achievement</w:t>
            </w:r>
          </w:p>
          <w:p w:rsidR="00B07279" w:rsidRDefault="00200976" w:rsidP="00B07279">
            <w:pPr>
              <w:numPr>
                <w:ilvl w:val="0"/>
                <w:numId w:val="14"/>
              </w:numPr>
              <w:spacing w:before="100" w:beforeAutospacing="1" w:after="100" w:afterAutospacing="1" w:line="240" w:lineRule="auto"/>
              <w:rPr>
                <w:rFonts w:eastAsia="Times New Roman"/>
              </w:rPr>
            </w:pPr>
            <w:r w:rsidRPr="00200976">
              <w:rPr>
                <w:rFonts w:eastAsia="Times New Roman"/>
                <w:b/>
                <w:bCs/>
              </w:rPr>
              <w:t>Communication:</w:t>
            </w:r>
            <w:r w:rsidRPr="00200976">
              <w:rPr>
                <w:rFonts w:eastAsia="Times New Roman"/>
              </w:rPr>
              <w:t xml:space="preserve"> Expressive and receptive communication skills, including</w:t>
            </w:r>
            <w:r w:rsidR="00B07279" w:rsidRPr="00200976">
              <w:rPr>
                <w:rFonts w:eastAsia="Times New Roman"/>
              </w:rPr>
              <w:t xml:space="preserve"> </w:t>
            </w:r>
            <w:r w:rsidR="00B07279" w:rsidRPr="00200976">
              <w:rPr>
                <w:rFonts w:eastAsia="Times New Roman"/>
              </w:rPr>
              <w:lastRenderedPageBreak/>
              <w:t>written, spoken, and gestural languag</w:t>
            </w:r>
            <w:r w:rsidR="00B07279">
              <w:rPr>
                <w:rFonts w:eastAsia="Times New Roman"/>
              </w:rPr>
              <w:t>e</w:t>
            </w:r>
          </w:p>
          <w:p w:rsidR="00200976" w:rsidRPr="00B07279" w:rsidRDefault="00B07279" w:rsidP="00B07279">
            <w:pPr>
              <w:spacing w:before="100" w:beforeAutospacing="1" w:after="100" w:afterAutospacing="1" w:line="240" w:lineRule="auto"/>
              <w:rPr>
                <w:rFonts w:eastAsia="Times New Roman"/>
              </w:rPr>
            </w:pPr>
            <w:r w:rsidRPr="00B07279">
              <w:t xml:space="preserve">DP-3 scores are available in five formats: </w:t>
            </w:r>
            <w:r w:rsidR="002628C8">
              <w:t xml:space="preserve">norm-based </w:t>
            </w:r>
            <w:r w:rsidRPr="00B07279">
              <w:t xml:space="preserve">standard scores, percentile ranks, </w:t>
            </w:r>
            <w:proofErr w:type="spellStart"/>
            <w:r w:rsidRPr="00B07279">
              <w:t>stanines</w:t>
            </w:r>
            <w:proofErr w:type="spellEnd"/>
            <w:r w:rsidRPr="00B07279">
              <w:t>, age equivalents, and descriptive ranges.</w:t>
            </w:r>
          </w:p>
          <w:p w:rsidR="00281B4A" w:rsidRPr="005026C6" w:rsidRDefault="000760E4" w:rsidP="00866AE9">
            <w:pPr>
              <w:pStyle w:val="NoSpacing"/>
              <w:rPr>
                <w:rFonts w:cs="Calibri"/>
              </w:rPr>
            </w:pPr>
            <w:r w:rsidRPr="005026C6">
              <w:rPr>
                <w:rFonts w:cs="Calibri"/>
              </w:rPr>
              <w:t xml:space="preserve">For DSRIP reporting purposes, </w:t>
            </w:r>
            <w:r w:rsidR="00B07279">
              <w:rPr>
                <w:rFonts w:cs="Calibri"/>
              </w:rPr>
              <w:t xml:space="preserve">the General Development Score </w:t>
            </w:r>
            <w:r w:rsidR="0020269A">
              <w:rPr>
                <w:rFonts w:cs="Calibri"/>
              </w:rPr>
              <w:t xml:space="preserve">(Standard Score) </w:t>
            </w:r>
            <w:r w:rsidR="00B07279">
              <w:rPr>
                <w:rFonts w:cs="Calibri"/>
              </w:rPr>
              <w:t>will be utilized</w:t>
            </w:r>
            <w:proofErr w:type="gramStart"/>
            <w:r w:rsidR="00456563">
              <w:rPr>
                <w:rFonts w:cs="Calibri"/>
              </w:rPr>
              <w:t>.</w:t>
            </w:r>
            <w:r w:rsidR="00B07279">
              <w:rPr>
                <w:rFonts w:cs="Calibri"/>
              </w:rPr>
              <w:t>.</w:t>
            </w:r>
            <w:proofErr w:type="gramEnd"/>
            <w:r w:rsidR="00B07279">
              <w:rPr>
                <w:rFonts w:cs="Calibri"/>
              </w:rPr>
              <w:t xml:space="preserve">  </w:t>
            </w:r>
          </w:p>
          <w:p w:rsidR="006644C7" w:rsidRPr="005026C6" w:rsidRDefault="006644C7" w:rsidP="00866AE9">
            <w:pPr>
              <w:pStyle w:val="NoSpacing"/>
              <w:rPr>
                <w:rFonts w:cs="Calibri"/>
              </w:rPr>
            </w:pPr>
          </w:p>
        </w:tc>
      </w:tr>
      <w:tr w:rsidR="00DD1C68" w:rsidRPr="005026C6" w:rsidTr="005026C6">
        <w:tc>
          <w:tcPr>
            <w:tcW w:w="2088" w:type="dxa"/>
          </w:tcPr>
          <w:p w:rsidR="00DD1C68" w:rsidRPr="005026C6" w:rsidRDefault="002617FF" w:rsidP="007F1266">
            <w:pPr>
              <w:pStyle w:val="NoSpacing"/>
              <w:rPr>
                <w:rFonts w:cs="Calibri"/>
                <w:b/>
              </w:rPr>
            </w:pPr>
            <w:r w:rsidRPr="005026C6">
              <w:rPr>
                <w:rFonts w:cs="Calibri"/>
                <w:b/>
              </w:rPr>
              <w:lastRenderedPageBreak/>
              <w:t>Distributor</w:t>
            </w:r>
            <w:r w:rsidR="007C104F" w:rsidRPr="005026C6">
              <w:rPr>
                <w:rFonts w:cs="Calibri"/>
                <w:b/>
              </w:rPr>
              <w:t xml:space="preserve"> C</w:t>
            </w:r>
            <w:r w:rsidR="00DD1C68" w:rsidRPr="005026C6">
              <w:rPr>
                <w:rFonts w:cs="Calibri"/>
                <w:b/>
              </w:rPr>
              <w:t>ontact</w:t>
            </w:r>
            <w:r w:rsidR="007C104F" w:rsidRPr="005026C6">
              <w:rPr>
                <w:rFonts w:cs="Calibri"/>
                <w:b/>
              </w:rPr>
              <w:t>s</w:t>
            </w:r>
          </w:p>
        </w:tc>
        <w:tc>
          <w:tcPr>
            <w:tcW w:w="7830" w:type="dxa"/>
          </w:tcPr>
          <w:p w:rsidR="0020269A" w:rsidRDefault="0020269A" w:rsidP="00B05CBF">
            <w:pPr>
              <w:pStyle w:val="NoSpacing"/>
            </w:pPr>
            <w:r>
              <w:t>WPS</w:t>
            </w:r>
          </w:p>
          <w:p w:rsidR="00B07279" w:rsidRPr="00B07279" w:rsidRDefault="00B07279" w:rsidP="00B05CBF">
            <w:pPr>
              <w:pStyle w:val="NoSpacing"/>
              <w:rPr>
                <w:rFonts w:cs="Calibri"/>
              </w:rPr>
            </w:pPr>
            <w:r w:rsidRPr="00B07279">
              <w:t xml:space="preserve">625 Alaska Avenue </w:t>
            </w:r>
            <w:r w:rsidRPr="00B07279">
              <w:br/>
              <w:t>Torrance, CA 90503-5124</w:t>
            </w:r>
            <w:r w:rsidRPr="00B07279">
              <w:br/>
            </w:r>
            <w:r>
              <w:t xml:space="preserve">T: </w:t>
            </w:r>
            <w:r w:rsidRPr="00B07279">
              <w:t>800.648.8857; 424.201.8800</w:t>
            </w:r>
            <w:r w:rsidRPr="00B07279">
              <w:br/>
            </w:r>
            <w:r>
              <w:t xml:space="preserve">F: </w:t>
            </w:r>
            <w:r w:rsidRPr="00B07279">
              <w:t xml:space="preserve">424.201.6950 </w:t>
            </w:r>
          </w:p>
          <w:p w:rsidR="00DD1C68" w:rsidRDefault="0020269A" w:rsidP="00B05CBF">
            <w:pPr>
              <w:pStyle w:val="NoSpacing"/>
              <w:rPr>
                <w:rFonts w:cs="Calibri"/>
              </w:rPr>
            </w:pPr>
            <w:r>
              <w:rPr>
                <w:rFonts w:cs="Calibri"/>
              </w:rPr>
              <w:t>Website: wpspublish.com</w:t>
            </w:r>
          </w:p>
          <w:p w:rsidR="002617FF" w:rsidRPr="005026C6" w:rsidRDefault="002617FF" w:rsidP="00B05CBF">
            <w:pPr>
              <w:pStyle w:val="NoSpacing"/>
              <w:rPr>
                <w:rFonts w:cs="Calibri"/>
              </w:rPr>
            </w:pPr>
          </w:p>
        </w:tc>
      </w:tr>
      <w:tr w:rsidR="00DD1C68" w:rsidRPr="005026C6" w:rsidTr="005026C6">
        <w:tc>
          <w:tcPr>
            <w:tcW w:w="2088" w:type="dxa"/>
          </w:tcPr>
          <w:p w:rsidR="00DD1C68" w:rsidRPr="005026C6" w:rsidRDefault="00DD1C68" w:rsidP="00CB15B0">
            <w:pPr>
              <w:pStyle w:val="NoSpacing"/>
              <w:rPr>
                <w:rFonts w:cs="Calibri"/>
                <w:b/>
              </w:rPr>
            </w:pPr>
            <w:r w:rsidRPr="005026C6">
              <w:rPr>
                <w:rFonts w:cs="Calibri"/>
                <w:b/>
              </w:rPr>
              <w:t>DSRIP-specific modifications to Measure Steward’s specification</w:t>
            </w:r>
          </w:p>
        </w:tc>
        <w:tc>
          <w:tcPr>
            <w:tcW w:w="7830" w:type="dxa"/>
          </w:tcPr>
          <w:p w:rsidR="00DD1C68" w:rsidRPr="005026C6" w:rsidRDefault="002628C8" w:rsidP="005F3EE8">
            <w:pPr>
              <w:pStyle w:val="NoSpacing"/>
              <w:rPr>
                <w:rFonts w:cs="Calibri"/>
              </w:rPr>
            </w:pPr>
            <w:r>
              <w:rPr>
                <w:rFonts w:cs="Calibri"/>
              </w:rPr>
              <w:t>None</w:t>
            </w:r>
          </w:p>
        </w:tc>
      </w:tr>
      <w:tr w:rsidR="00456563" w:rsidRPr="005026C6" w:rsidTr="005026C6">
        <w:tc>
          <w:tcPr>
            <w:tcW w:w="2088" w:type="dxa"/>
          </w:tcPr>
          <w:p w:rsidR="00456563" w:rsidRPr="005026C6" w:rsidRDefault="00456563" w:rsidP="00CB15B0">
            <w:pPr>
              <w:pStyle w:val="NoSpacing"/>
              <w:rPr>
                <w:rFonts w:cs="Calibri"/>
                <w:b/>
              </w:rPr>
            </w:pPr>
            <w:r w:rsidRPr="000E4529">
              <w:rPr>
                <w:rFonts w:cs="Calibri"/>
                <w:b/>
              </w:rPr>
              <w:t>Numerator Description</w:t>
            </w:r>
          </w:p>
        </w:tc>
        <w:tc>
          <w:tcPr>
            <w:tcW w:w="7830" w:type="dxa"/>
          </w:tcPr>
          <w:p w:rsidR="00456563" w:rsidRPr="000E4529" w:rsidRDefault="00456563" w:rsidP="000E4529">
            <w:pPr>
              <w:pStyle w:val="NoSpacing"/>
              <w:rPr>
                <w:rFonts w:cs="Calibri"/>
              </w:rPr>
            </w:pPr>
            <w:r w:rsidRPr="004C4E93">
              <w:rPr>
                <w:rFonts w:eastAsia="Times New Roman" w:cs="Arial"/>
                <w:color w:val="000000"/>
              </w:rPr>
              <w:t>Scenario 1: Baseline includes pre and posttest scores</w:t>
            </w:r>
          </w:p>
          <w:p w:rsidR="00456563" w:rsidRPr="000E4529" w:rsidRDefault="00456563" w:rsidP="00456563">
            <w:pPr>
              <w:pStyle w:val="ListParagraph"/>
              <w:numPr>
                <w:ilvl w:val="0"/>
                <w:numId w:val="19"/>
              </w:numPr>
              <w:rPr>
                <w:rFonts w:ascii="Calibri" w:hAnsi="Calibri" w:cs="Arial"/>
                <w:sz w:val="22"/>
              </w:rPr>
            </w:pPr>
            <w:r w:rsidRPr="000E4529">
              <w:rPr>
                <w:rFonts w:ascii="Calibri" w:eastAsia="Times New Roman" w:hAnsi="Calibri" w:cs="Arial"/>
                <w:color w:val="000000"/>
                <w:sz w:val="22"/>
              </w:rPr>
              <w:t xml:space="preserve">DY3: </w:t>
            </w:r>
          </w:p>
          <w:p w:rsidR="00456563" w:rsidRPr="000E4529" w:rsidRDefault="00456563" w:rsidP="00456563">
            <w:pPr>
              <w:pStyle w:val="ListParagraph"/>
              <w:numPr>
                <w:ilvl w:val="1"/>
                <w:numId w:val="19"/>
              </w:numPr>
              <w:ind w:left="1115"/>
              <w:rPr>
                <w:rFonts w:ascii="Calibri" w:hAnsi="Calibri" w:cs="Arial"/>
                <w:sz w:val="22"/>
              </w:rPr>
            </w:pPr>
            <w:r w:rsidRPr="000E4529">
              <w:rPr>
                <w:rFonts w:ascii="Calibri" w:eastAsia="Times New Roman" w:hAnsi="Calibri" w:cs="Arial"/>
                <w:color w:val="000000"/>
                <w:sz w:val="22"/>
              </w:rPr>
              <w:t>The sum total of the most recent score of individuals who completed at least two surveys (pre and posttest) during the baseline measurement period. For individuals who have completed two or more posttests, only the most recent survey score should be reported. AND</w:t>
            </w:r>
          </w:p>
          <w:p w:rsidR="00456563" w:rsidRPr="000E4529" w:rsidRDefault="00456563" w:rsidP="00456563">
            <w:pPr>
              <w:pStyle w:val="ListParagraph"/>
              <w:numPr>
                <w:ilvl w:val="1"/>
                <w:numId w:val="19"/>
              </w:numPr>
              <w:ind w:left="1115"/>
              <w:rPr>
                <w:rFonts w:ascii="Calibri" w:hAnsi="Calibri" w:cs="Arial"/>
                <w:sz w:val="22"/>
              </w:rPr>
            </w:pPr>
            <w:r w:rsidRPr="000E4529">
              <w:rPr>
                <w:rFonts w:ascii="Calibri" w:hAnsi="Calibri" w:cs="Arial"/>
                <w:sz w:val="22"/>
              </w:rPr>
              <w:t>The sum total of the pretest scores of all individuals who complete at least two surveys since the beginning of DY1 (pretest and posttest), with the most recent posttest survey completed during the baseline measurement period.</w:t>
            </w:r>
          </w:p>
          <w:p w:rsidR="00456563" w:rsidRPr="000E4529" w:rsidRDefault="00456563" w:rsidP="00456563">
            <w:pPr>
              <w:pStyle w:val="ListParagraph"/>
              <w:numPr>
                <w:ilvl w:val="0"/>
                <w:numId w:val="19"/>
              </w:numPr>
              <w:rPr>
                <w:rFonts w:ascii="Calibri" w:hAnsi="Calibri" w:cs="Arial"/>
                <w:sz w:val="22"/>
              </w:rPr>
            </w:pPr>
            <w:r w:rsidRPr="000E4529">
              <w:rPr>
                <w:rFonts w:ascii="Calibri" w:eastAsia="Times New Roman" w:hAnsi="Calibri" w:cs="Arial"/>
                <w:color w:val="000000"/>
                <w:sz w:val="22"/>
              </w:rPr>
              <w:t xml:space="preserve">DY4 &amp; DY5: The sum total of the most recent score of individuals who completed at least two surveys (pretest and posttest) since the beginning of baseline reporting, with the most recent survey completed during the reporting year. For individuals who completed two or more posttest surveys, only the most recent survey score should be reported. </w:t>
            </w:r>
          </w:p>
          <w:p w:rsidR="00456563" w:rsidRPr="004C4E93" w:rsidRDefault="00456563" w:rsidP="000E4529">
            <w:pPr>
              <w:ind w:left="1115" w:hanging="360"/>
              <w:rPr>
                <w:rFonts w:eastAsia="Times New Roman" w:cs="Arial"/>
                <w:color w:val="000000"/>
              </w:rPr>
            </w:pPr>
          </w:p>
          <w:p w:rsidR="00456563" w:rsidRPr="000E4529" w:rsidRDefault="00456563" w:rsidP="000E4529">
            <w:pPr>
              <w:pStyle w:val="NoSpacing"/>
              <w:rPr>
                <w:rFonts w:cs="Calibri"/>
              </w:rPr>
            </w:pPr>
            <w:r w:rsidRPr="000E4529">
              <w:rPr>
                <w:rFonts w:cs="Calibri"/>
              </w:rPr>
              <w:t>Scenario 2: Baseline includes pretest scores only</w:t>
            </w:r>
          </w:p>
          <w:p w:rsidR="00456563" w:rsidRPr="000E4529" w:rsidRDefault="00456563" w:rsidP="00456563">
            <w:pPr>
              <w:pStyle w:val="ListParagraph"/>
              <w:numPr>
                <w:ilvl w:val="0"/>
                <w:numId w:val="17"/>
              </w:numPr>
              <w:rPr>
                <w:rFonts w:ascii="Calibri" w:eastAsia="Times New Roman" w:hAnsi="Calibri" w:cs="Arial"/>
                <w:color w:val="000000"/>
                <w:sz w:val="22"/>
              </w:rPr>
            </w:pPr>
            <w:r w:rsidRPr="000E4529">
              <w:rPr>
                <w:rFonts w:ascii="Calibri" w:eastAsia="Times New Roman" w:hAnsi="Calibri" w:cs="Arial"/>
                <w:color w:val="000000"/>
                <w:sz w:val="22"/>
              </w:rPr>
              <w:t xml:space="preserve">DY3: The sum total from all pretest surveys completed during the baseline measurement period. </w:t>
            </w:r>
          </w:p>
          <w:p w:rsidR="00456563" w:rsidRPr="000E4529" w:rsidRDefault="00456563" w:rsidP="00456563">
            <w:pPr>
              <w:pStyle w:val="ListParagraph"/>
              <w:numPr>
                <w:ilvl w:val="0"/>
                <w:numId w:val="17"/>
              </w:numPr>
              <w:rPr>
                <w:rFonts w:ascii="Calibri" w:eastAsia="Times New Roman" w:hAnsi="Calibri" w:cs="Arial"/>
                <w:color w:val="000000"/>
                <w:sz w:val="22"/>
              </w:rPr>
            </w:pPr>
            <w:r w:rsidRPr="000E4529">
              <w:rPr>
                <w:rFonts w:ascii="Calibri" w:eastAsia="Times New Roman" w:hAnsi="Calibri" w:cs="Arial"/>
                <w:color w:val="000000"/>
                <w:sz w:val="22"/>
              </w:rPr>
              <w:t xml:space="preserve">DY4 &amp; DY5: The sum total of the most recent score of individuals who completed at least two surveys (pretest and posttest) since the beginning of baseline reporting, with the most recent posttest survey completed during the reporting year. For individuals who have completed two or more posttest surveys, only the most recent score should be reported. </w:t>
            </w:r>
          </w:p>
          <w:p w:rsidR="00456563" w:rsidRPr="004C4E93" w:rsidRDefault="00456563" w:rsidP="000E4529">
            <w:pPr>
              <w:rPr>
                <w:rFonts w:eastAsia="Times New Roman" w:cs="Arial"/>
                <w:color w:val="000000"/>
              </w:rPr>
            </w:pPr>
          </w:p>
          <w:p w:rsidR="00456563" w:rsidRPr="000E4529" w:rsidRDefault="00456563" w:rsidP="000E4529">
            <w:pPr>
              <w:pStyle w:val="NoSpacing"/>
              <w:rPr>
                <w:rFonts w:cs="Calibri"/>
              </w:rPr>
            </w:pPr>
            <w:r w:rsidRPr="000E4529">
              <w:rPr>
                <w:rFonts w:cs="Calibri"/>
              </w:rPr>
              <w:lastRenderedPageBreak/>
              <w:t>Scenario 3: No pre/post testing methodology</w:t>
            </w:r>
          </w:p>
          <w:p w:rsidR="00456563" w:rsidRPr="000E4529" w:rsidRDefault="00456563" w:rsidP="00456563">
            <w:pPr>
              <w:pStyle w:val="ListParagraph"/>
              <w:numPr>
                <w:ilvl w:val="0"/>
                <w:numId w:val="18"/>
              </w:numPr>
              <w:rPr>
                <w:rFonts w:ascii="Calibri" w:eastAsia="Times New Roman" w:hAnsi="Calibri" w:cs="Arial"/>
                <w:color w:val="000000"/>
                <w:sz w:val="22"/>
              </w:rPr>
            </w:pPr>
            <w:r w:rsidRPr="000E4529">
              <w:rPr>
                <w:rFonts w:ascii="Calibri" w:hAnsi="Calibri" w:cs="Calibri"/>
                <w:sz w:val="22"/>
              </w:rPr>
              <w:t>DY3 - DY5: The sum of the "overall score" from all of surveys completed during the measurement period.</w:t>
            </w:r>
          </w:p>
          <w:p w:rsidR="00456563" w:rsidRPr="005026C6" w:rsidRDefault="00456563" w:rsidP="00D90A63">
            <w:pPr>
              <w:pStyle w:val="NoSpacing"/>
              <w:rPr>
                <w:rFonts w:cs="Calibri"/>
              </w:rPr>
            </w:pPr>
          </w:p>
        </w:tc>
      </w:tr>
      <w:tr w:rsidR="008F451B" w:rsidRPr="005026C6" w:rsidTr="005026C6">
        <w:tc>
          <w:tcPr>
            <w:tcW w:w="2088" w:type="dxa"/>
          </w:tcPr>
          <w:p w:rsidR="008F451B" w:rsidRPr="005026C6" w:rsidRDefault="008F451B" w:rsidP="00CB15B0">
            <w:pPr>
              <w:pStyle w:val="NoSpacing"/>
              <w:rPr>
                <w:rFonts w:cs="Calibri"/>
                <w:b/>
              </w:rPr>
            </w:pPr>
            <w:r w:rsidRPr="005026C6">
              <w:rPr>
                <w:rFonts w:cs="Calibri"/>
                <w:b/>
              </w:rPr>
              <w:lastRenderedPageBreak/>
              <w:t>Numerator Inclusions</w:t>
            </w:r>
          </w:p>
        </w:tc>
        <w:tc>
          <w:tcPr>
            <w:tcW w:w="7830" w:type="dxa"/>
          </w:tcPr>
          <w:p w:rsidR="008F451B" w:rsidRPr="00B0608D" w:rsidRDefault="008F451B" w:rsidP="00CB15B0">
            <w:pPr>
              <w:pStyle w:val="NoSpacing"/>
            </w:pPr>
            <w:r w:rsidRPr="00B0608D">
              <w:t>The survey developer does not identify specific numerator inclusions beyond what is described in the numerator description.</w:t>
            </w:r>
          </w:p>
        </w:tc>
      </w:tr>
      <w:tr w:rsidR="008F451B" w:rsidRPr="005026C6" w:rsidTr="005026C6">
        <w:tc>
          <w:tcPr>
            <w:tcW w:w="2088" w:type="dxa"/>
          </w:tcPr>
          <w:p w:rsidR="008F451B" w:rsidRPr="005026C6" w:rsidRDefault="008F451B" w:rsidP="00CB15B0">
            <w:pPr>
              <w:pStyle w:val="NoSpacing"/>
              <w:rPr>
                <w:rFonts w:cs="Calibri"/>
                <w:b/>
              </w:rPr>
            </w:pPr>
            <w:r w:rsidRPr="005026C6">
              <w:rPr>
                <w:rFonts w:cs="Calibri"/>
                <w:b/>
              </w:rPr>
              <w:t>Numerator Exclusions</w:t>
            </w:r>
          </w:p>
        </w:tc>
        <w:tc>
          <w:tcPr>
            <w:tcW w:w="7830" w:type="dxa"/>
          </w:tcPr>
          <w:p w:rsidR="008F451B" w:rsidRPr="00B0608D" w:rsidRDefault="00B0608D" w:rsidP="00C35B2B">
            <w:pPr>
              <w:pStyle w:val="NoSpacing"/>
            </w:pPr>
            <w:r w:rsidRPr="00B0608D">
              <w:t xml:space="preserve">Individuals </w:t>
            </w:r>
            <w:r>
              <w:t>that do not have a</w:t>
            </w:r>
            <w:r w:rsidRPr="00B0608D">
              <w:t xml:space="preserve"> follow up score during the measurement period will be excluded. </w:t>
            </w:r>
            <w:r>
              <w:t xml:space="preserve"> </w:t>
            </w:r>
          </w:p>
        </w:tc>
      </w:tr>
      <w:tr w:rsidR="00DD1C68" w:rsidRPr="005026C6" w:rsidTr="005026C6">
        <w:tc>
          <w:tcPr>
            <w:tcW w:w="2088" w:type="dxa"/>
          </w:tcPr>
          <w:p w:rsidR="00DD1C68" w:rsidRPr="005026C6" w:rsidRDefault="00DD1C68" w:rsidP="001D6BEA">
            <w:pPr>
              <w:pStyle w:val="NoSpacing"/>
              <w:rPr>
                <w:rFonts w:cs="Calibri"/>
                <w:b/>
              </w:rPr>
            </w:pPr>
            <w:r w:rsidRPr="005026C6">
              <w:rPr>
                <w:rFonts w:cs="Calibri"/>
                <w:b/>
              </w:rPr>
              <w:t xml:space="preserve">Denominator Description </w:t>
            </w:r>
          </w:p>
        </w:tc>
        <w:tc>
          <w:tcPr>
            <w:tcW w:w="7830" w:type="dxa"/>
          </w:tcPr>
          <w:p w:rsidR="00456563" w:rsidRPr="004C4E93" w:rsidRDefault="00456563" w:rsidP="00456563">
            <w:pPr>
              <w:rPr>
                <w:rFonts w:eastAsia="Times New Roman" w:cs="Arial"/>
                <w:color w:val="000000"/>
              </w:rPr>
            </w:pPr>
            <w:r w:rsidRPr="004C4E93">
              <w:rPr>
                <w:rFonts w:eastAsia="Times New Roman" w:cs="Arial"/>
                <w:color w:val="000000"/>
              </w:rPr>
              <w:t xml:space="preserve">In all scenarios, the numerator and denominator should result in an average score. </w:t>
            </w:r>
          </w:p>
          <w:p w:rsidR="00456563" w:rsidRPr="004C4E93" w:rsidRDefault="00456563" w:rsidP="00456563">
            <w:pPr>
              <w:pStyle w:val="NoSpacing"/>
              <w:rPr>
                <w:rFonts w:eastAsia="Times New Roman" w:cs="Arial"/>
                <w:color w:val="000000"/>
              </w:rPr>
            </w:pPr>
          </w:p>
          <w:p w:rsidR="00456563" w:rsidRPr="00456563" w:rsidRDefault="00456563" w:rsidP="00456563">
            <w:pPr>
              <w:pStyle w:val="NoSpacing"/>
              <w:rPr>
                <w:rFonts w:cs="Calibri"/>
              </w:rPr>
            </w:pPr>
            <w:r w:rsidRPr="004C4E93">
              <w:rPr>
                <w:rFonts w:eastAsia="Times New Roman" w:cs="Arial"/>
                <w:color w:val="000000"/>
              </w:rPr>
              <w:t>Scenario 1: Baseline includes pre and posttest scores</w:t>
            </w:r>
          </w:p>
          <w:p w:rsidR="00456563" w:rsidRPr="00456563" w:rsidRDefault="00456563" w:rsidP="00456563">
            <w:pPr>
              <w:pStyle w:val="ListParagraph"/>
              <w:numPr>
                <w:ilvl w:val="0"/>
                <w:numId w:val="18"/>
              </w:numPr>
              <w:rPr>
                <w:rFonts w:ascii="Calibri" w:eastAsia="Times New Roman" w:hAnsi="Calibri" w:cs="Arial"/>
                <w:color w:val="000000"/>
                <w:sz w:val="22"/>
              </w:rPr>
            </w:pPr>
            <w:r w:rsidRPr="00456563">
              <w:rPr>
                <w:rFonts w:ascii="Calibri" w:eastAsia="Times New Roman" w:hAnsi="Calibri" w:cs="Arial"/>
                <w:color w:val="000000"/>
                <w:sz w:val="22"/>
              </w:rPr>
              <w:t xml:space="preserve">DY3: For both reported scores (pretest and posttest), the denominator will be the total number of individuals who have completed at least two surveys (pretest posttest) at the end of the baseline measurement period. </w:t>
            </w:r>
          </w:p>
          <w:p w:rsidR="00456563" w:rsidRPr="00456563" w:rsidRDefault="00456563" w:rsidP="00456563">
            <w:pPr>
              <w:pStyle w:val="ListParagraph"/>
              <w:numPr>
                <w:ilvl w:val="0"/>
                <w:numId w:val="18"/>
              </w:numPr>
              <w:rPr>
                <w:rFonts w:ascii="Calibri" w:eastAsia="Times New Roman" w:hAnsi="Calibri" w:cs="Arial"/>
                <w:color w:val="000000"/>
                <w:sz w:val="22"/>
              </w:rPr>
            </w:pPr>
            <w:r w:rsidRPr="00456563">
              <w:rPr>
                <w:rFonts w:ascii="Calibri" w:eastAsia="Times New Roman" w:hAnsi="Calibri" w:cs="Arial"/>
                <w:color w:val="000000"/>
                <w:sz w:val="22"/>
              </w:rPr>
              <w:t xml:space="preserve">DY4 &amp; DY5: The total number of individuals receiving at least two surveys (pretest and posttest) since the beginning of baseline reporting, with the most recent posttest survey completed during the reporting year. </w:t>
            </w:r>
          </w:p>
          <w:p w:rsidR="00456563" w:rsidRPr="004C4E93" w:rsidRDefault="00456563" w:rsidP="00456563">
            <w:pPr>
              <w:rPr>
                <w:rFonts w:eastAsia="Times New Roman" w:cs="Arial"/>
                <w:color w:val="000000"/>
              </w:rPr>
            </w:pPr>
          </w:p>
          <w:p w:rsidR="00456563" w:rsidRPr="00456563" w:rsidRDefault="00456563" w:rsidP="00456563">
            <w:pPr>
              <w:pStyle w:val="NoSpacing"/>
              <w:rPr>
                <w:rFonts w:cs="Calibri"/>
              </w:rPr>
            </w:pPr>
            <w:r w:rsidRPr="00456563">
              <w:rPr>
                <w:rFonts w:cs="Calibri"/>
              </w:rPr>
              <w:t>Scenario 2: Baseline includes pretest scores only</w:t>
            </w:r>
          </w:p>
          <w:p w:rsidR="00456563" w:rsidRPr="00456563" w:rsidRDefault="00456563" w:rsidP="00456563">
            <w:pPr>
              <w:pStyle w:val="ListParagraph"/>
              <w:numPr>
                <w:ilvl w:val="0"/>
                <w:numId w:val="20"/>
              </w:numPr>
              <w:rPr>
                <w:rFonts w:ascii="Calibri" w:eastAsia="Times New Roman" w:hAnsi="Calibri" w:cs="Arial"/>
                <w:color w:val="000000"/>
                <w:sz w:val="22"/>
              </w:rPr>
            </w:pPr>
            <w:r w:rsidRPr="00456563">
              <w:rPr>
                <w:rFonts w:ascii="Calibri" w:eastAsia="Times New Roman" w:hAnsi="Calibri" w:cs="Arial"/>
                <w:color w:val="000000"/>
                <w:sz w:val="22"/>
              </w:rPr>
              <w:t>DY3: The total number of individuals completing pretest surveys during the baseline measurement period.</w:t>
            </w:r>
          </w:p>
          <w:p w:rsidR="00456563" w:rsidRPr="00456563" w:rsidRDefault="00456563" w:rsidP="00456563">
            <w:pPr>
              <w:pStyle w:val="ListParagraph"/>
              <w:numPr>
                <w:ilvl w:val="0"/>
                <w:numId w:val="20"/>
              </w:numPr>
              <w:rPr>
                <w:rFonts w:ascii="Calibri" w:eastAsia="Times New Roman" w:hAnsi="Calibri" w:cs="Arial"/>
                <w:color w:val="000000"/>
                <w:sz w:val="22"/>
              </w:rPr>
            </w:pPr>
            <w:r w:rsidRPr="00456563">
              <w:rPr>
                <w:rFonts w:ascii="Calibri" w:eastAsia="Times New Roman" w:hAnsi="Calibri" w:cs="Arial"/>
                <w:color w:val="000000"/>
                <w:sz w:val="22"/>
              </w:rPr>
              <w:t xml:space="preserve">DY4 &amp; DY5: The total number of individuals receiving at least two surveys since the beginning of baseline reporting, with the most recent survey completed during the reporting year. </w:t>
            </w:r>
          </w:p>
          <w:p w:rsidR="00456563" w:rsidRPr="004C4E93" w:rsidRDefault="00456563" w:rsidP="00456563">
            <w:pPr>
              <w:rPr>
                <w:rFonts w:eastAsia="Times New Roman" w:cs="Arial"/>
                <w:color w:val="000000"/>
              </w:rPr>
            </w:pPr>
          </w:p>
          <w:p w:rsidR="00456563" w:rsidRPr="00456563" w:rsidRDefault="00456563" w:rsidP="00456563">
            <w:pPr>
              <w:pStyle w:val="NoSpacing"/>
              <w:rPr>
                <w:rFonts w:cs="Calibri"/>
              </w:rPr>
            </w:pPr>
            <w:r w:rsidRPr="00456563">
              <w:rPr>
                <w:rFonts w:cs="Calibri"/>
              </w:rPr>
              <w:t>Scenario 3: No pre/post testing methodology</w:t>
            </w:r>
          </w:p>
          <w:p w:rsidR="00456563" w:rsidRPr="00456563" w:rsidRDefault="00456563" w:rsidP="00456563">
            <w:pPr>
              <w:pStyle w:val="ListParagraph"/>
              <w:numPr>
                <w:ilvl w:val="0"/>
                <w:numId w:val="21"/>
              </w:numPr>
              <w:rPr>
                <w:rFonts w:ascii="Calibri" w:eastAsia="Times New Roman" w:hAnsi="Calibri" w:cs="Arial"/>
                <w:color w:val="000000"/>
                <w:sz w:val="22"/>
              </w:rPr>
            </w:pPr>
            <w:r w:rsidRPr="00456563">
              <w:rPr>
                <w:rFonts w:ascii="Calibri" w:hAnsi="Calibri" w:cs="Calibri"/>
                <w:sz w:val="22"/>
              </w:rPr>
              <w:t>DY3-DY5: The total number of surveys completed during the measurement period</w:t>
            </w:r>
          </w:p>
          <w:p w:rsidR="00DD1C68" w:rsidRPr="00B0608D" w:rsidRDefault="00DD1C68" w:rsidP="00B0608D">
            <w:pPr>
              <w:rPr>
                <w:color w:val="1F497D"/>
              </w:rPr>
            </w:pPr>
          </w:p>
        </w:tc>
      </w:tr>
      <w:tr w:rsidR="00DD1C68" w:rsidRPr="005026C6" w:rsidTr="005026C6">
        <w:tc>
          <w:tcPr>
            <w:tcW w:w="2088" w:type="dxa"/>
          </w:tcPr>
          <w:p w:rsidR="00DD1C68" w:rsidRPr="005026C6" w:rsidRDefault="00DD1C68" w:rsidP="007F1266">
            <w:pPr>
              <w:pStyle w:val="NoSpacing"/>
              <w:rPr>
                <w:rFonts w:cs="Calibri"/>
                <w:b/>
              </w:rPr>
            </w:pPr>
            <w:r w:rsidRPr="005026C6">
              <w:rPr>
                <w:rFonts w:cs="Calibri"/>
                <w:b/>
              </w:rPr>
              <w:t xml:space="preserve">Denominator </w:t>
            </w:r>
            <w:r w:rsidR="007F1266" w:rsidRPr="005026C6">
              <w:rPr>
                <w:rFonts w:cs="Calibri"/>
                <w:b/>
              </w:rPr>
              <w:t>I</w:t>
            </w:r>
            <w:r w:rsidRPr="005026C6">
              <w:rPr>
                <w:rFonts w:cs="Calibri"/>
                <w:b/>
              </w:rPr>
              <w:t>nclusions</w:t>
            </w:r>
          </w:p>
        </w:tc>
        <w:tc>
          <w:tcPr>
            <w:tcW w:w="7830" w:type="dxa"/>
          </w:tcPr>
          <w:p w:rsidR="00DD1C68" w:rsidRPr="00B0608D" w:rsidRDefault="007C104F" w:rsidP="007C104F">
            <w:pPr>
              <w:pStyle w:val="NoSpacing"/>
            </w:pPr>
            <w:r w:rsidRPr="00B0608D">
              <w:t>The survey developer does not identify specific denominator inclusions beyond what is described in the denominator description.</w:t>
            </w:r>
          </w:p>
          <w:p w:rsidR="00D2049F" w:rsidRPr="005026C6" w:rsidRDefault="00D2049F" w:rsidP="007C104F">
            <w:pPr>
              <w:pStyle w:val="NoSpacing"/>
              <w:rPr>
                <w:rFonts w:cs="Calibri"/>
                <w:i/>
              </w:rPr>
            </w:pPr>
          </w:p>
        </w:tc>
      </w:tr>
      <w:tr w:rsidR="00DD1C68" w:rsidRPr="005026C6" w:rsidTr="005026C6">
        <w:tc>
          <w:tcPr>
            <w:tcW w:w="2088" w:type="dxa"/>
          </w:tcPr>
          <w:p w:rsidR="00DD1C68" w:rsidRPr="005026C6" w:rsidRDefault="00DD1C68" w:rsidP="007F1266">
            <w:pPr>
              <w:pStyle w:val="NoSpacing"/>
              <w:rPr>
                <w:rFonts w:cs="Calibri"/>
                <w:b/>
              </w:rPr>
            </w:pPr>
            <w:r w:rsidRPr="005026C6">
              <w:rPr>
                <w:rFonts w:cs="Calibri"/>
                <w:b/>
              </w:rPr>
              <w:t xml:space="preserve">Denominator </w:t>
            </w:r>
            <w:r w:rsidR="007F1266" w:rsidRPr="005026C6">
              <w:rPr>
                <w:rFonts w:cs="Calibri"/>
                <w:b/>
              </w:rPr>
              <w:t>E</w:t>
            </w:r>
            <w:r w:rsidRPr="005026C6">
              <w:rPr>
                <w:rFonts w:cs="Calibri"/>
                <w:b/>
              </w:rPr>
              <w:t>xclusions</w:t>
            </w:r>
          </w:p>
        </w:tc>
        <w:tc>
          <w:tcPr>
            <w:tcW w:w="7830" w:type="dxa"/>
          </w:tcPr>
          <w:p w:rsidR="00DD1C68" w:rsidRPr="00700B3F" w:rsidRDefault="007C104F" w:rsidP="007C104F">
            <w:pPr>
              <w:pStyle w:val="NoSpacing"/>
            </w:pPr>
            <w:r w:rsidRPr="00700B3F">
              <w:t>The survey developer does not identify specific denominator exclusions beyond what is described in the denominator description.</w:t>
            </w:r>
          </w:p>
          <w:p w:rsidR="00D2049F" w:rsidRPr="005026C6" w:rsidRDefault="00D2049F" w:rsidP="007C104F">
            <w:pPr>
              <w:pStyle w:val="NoSpacing"/>
              <w:rPr>
                <w:rFonts w:cs="Calibri"/>
                <w:i/>
              </w:rPr>
            </w:pPr>
          </w:p>
        </w:tc>
      </w:tr>
      <w:tr w:rsidR="00DD1C68" w:rsidRPr="005026C6" w:rsidTr="005026C6">
        <w:tc>
          <w:tcPr>
            <w:tcW w:w="2088" w:type="dxa"/>
          </w:tcPr>
          <w:p w:rsidR="00DD1C68" w:rsidRPr="005026C6" w:rsidRDefault="00DD1C68" w:rsidP="007F1266">
            <w:pPr>
              <w:pStyle w:val="NoSpacing"/>
              <w:rPr>
                <w:rFonts w:cs="Calibri"/>
                <w:b/>
              </w:rPr>
            </w:pPr>
            <w:r w:rsidRPr="005026C6">
              <w:rPr>
                <w:rFonts w:cs="Calibri"/>
                <w:b/>
              </w:rPr>
              <w:t xml:space="preserve">Denominator </w:t>
            </w:r>
            <w:r w:rsidR="007F1266" w:rsidRPr="005026C6">
              <w:rPr>
                <w:rFonts w:cs="Calibri"/>
                <w:b/>
              </w:rPr>
              <w:t>S</w:t>
            </w:r>
            <w:r w:rsidRPr="005026C6">
              <w:rPr>
                <w:rFonts w:cs="Calibri"/>
                <w:b/>
              </w:rPr>
              <w:t>ize</w:t>
            </w:r>
          </w:p>
        </w:tc>
        <w:tc>
          <w:tcPr>
            <w:tcW w:w="7830" w:type="dxa"/>
          </w:tcPr>
          <w:p w:rsidR="00D90A63" w:rsidRPr="00DD1C68" w:rsidRDefault="00D90A63" w:rsidP="00D90A63">
            <w:pPr>
              <w:pStyle w:val="NoSpacing"/>
              <w:rPr>
                <w:rFonts w:cs="Calibri"/>
              </w:rPr>
            </w:pPr>
            <w:r w:rsidRPr="00DD1C68">
              <w:rPr>
                <w:rFonts w:cs="Calibri"/>
              </w:rPr>
              <w:t>Provi</w:t>
            </w:r>
            <w:r>
              <w:rPr>
                <w:rFonts w:cs="Calibri"/>
              </w:rPr>
              <w:t>ders must report a minimum of 8</w:t>
            </w:r>
            <w:r w:rsidRPr="00DD1C68">
              <w:rPr>
                <w:rFonts w:cs="Calibri"/>
              </w:rPr>
              <w:t xml:space="preserve"> cases per measure during a 12-mon</w:t>
            </w:r>
            <w:r>
              <w:rPr>
                <w:rFonts w:cs="Calibri"/>
              </w:rPr>
              <w:t>th or 6-month measurement period.</w:t>
            </w:r>
          </w:p>
          <w:p w:rsidR="00DD1C68" w:rsidRPr="005026C6" w:rsidRDefault="00DD1C68" w:rsidP="005026C6">
            <w:pPr>
              <w:pStyle w:val="NoSpacing"/>
              <w:numPr>
                <w:ilvl w:val="0"/>
                <w:numId w:val="8"/>
              </w:numPr>
              <w:rPr>
                <w:rFonts w:cs="Calibri"/>
              </w:rPr>
            </w:pPr>
            <w:r w:rsidRPr="005026C6">
              <w:rPr>
                <w:rFonts w:cs="Calibri"/>
              </w:rPr>
              <w:t>For a measurement period (either 6 or 12-months) where the denominator size is less than or equal to 75, providers must report on all cases. No sampling is allowed.</w:t>
            </w:r>
          </w:p>
          <w:p w:rsidR="00DD1C68" w:rsidRPr="005026C6" w:rsidRDefault="00DD1C68" w:rsidP="005026C6">
            <w:pPr>
              <w:pStyle w:val="NoSpacing"/>
              <w:numPr>
                <w:ilvl w:val="0"/>
                <w:numId w:val="8"/>
              </w:numPr>
              <w:rPr>
                <w:rFonts w:cs="Calibri"/>
              </w:rPr>
            </w:pPr>
            <w:r w:rsidRPr="005026C6">
              <w:rPr>
                <w:rFonts w:cs="Calibri"/>
              </w:rPr>
              <w:t xml:space="preserve">For a measurement period (either 6 or 12-months) where the denominator size is less than or equal to 380 but greater than 75, providers must report </w:t>
            </w:r>
            <w:r w:rsidRPr="005026C6">
              <w:rPr>
                <w:rFonts w:cs="Calibri"/>
              </w:rPr>
              <w:lastRenderedPageBreak/>
              <w:t>on a random sample of not less than 76 cases.</w:t>
            </w:r>
          </w:p>
          <w:p w:rsidR="00DD1C68" w:rsidRPr="005026C6" w:rsidRDefault="00DD1C68" w:rsidP="005026C6">
            <w:pPr>
              <w:pStyle w:val="NoSpacing"/>
              <w:numPr>
                <w:ilvl w:val="0"/>
                <w:numId w:val="8"/>
              </w:numPr>
              <w:rPr>
                <w:rFonts w:cs="Calibri"/>
              </w:rPr>
            </w:pPr>
            <w:r w:rsidRPr="005026C6">
              <w:rPr>
                <w:rFonts w:cs="Calibri"/>
              </w:rPr>
              <w:t xml:space="preserve">For a measurement period (either 6 or 12-months) where the denominator size is greater than </w:t>
            </w:r>
            <w:r w:rsidR="005143C7" w:rsidRPr="005026C6">
              <w:rPr>
                <w:rFonts w:cs="Calibri"/>
              </w:rPr>
              <w:t>380</w:t>
            </w:r>
            <w:r w:rsidRPr="005026C6">
              <w:rPr>
                <w:rFonts w:cs="Calibri"/>
              </w:rPr>
              <w:t xml:space="preserve">, providers must report on a random sample of cases that is not less than 20% of all cases; however, providers may cap the total sample size at 300 cases. </w:t>
            </w:r>
          </w:p>
          <w:p w:rsidR="00D2049F" w:rsidRPr="005026C6" w:rsidRDefault="00D2049F" w:rsidP="005026C6">
            <w:pPr>
              <w:pStyle w:val="NoSpacing"/>
              <w:ind w:left="720"/>
              <w:rPr>
                <w:rFonts w:cs="Calibri"/>
              </w:rPr>
            </w:pPr>
          </w:p>
        </w:tc>
      </w:tr>
      <w:tr w:rsidR="00456563" w:rsidRPr="005026C6" w:rsidTr="005026C6">
        <w:tc>
          <w:tcPr>
            <w:tcW w:w="2088" w:type="dxa"/>
          </w:tcPr>
          <w:p w:rsidR="00456563" w:rsidRPr="005026C6" w:rsidRDefault="00456563" w:rsidP="00CB15B0">
            <w:pPr>
              <w:pStyle w:val="NoSpacing"/>
              <w:rPr>
                <w:rFonts w:cs="Calibri"/>
                <w:b/>
              </w:rPr>
            </w:pPr>
            <w:r>
              <w:rPr>
                <w:b/>
              </w:rPr>
              <w:lastRenderedPageBreak/>
              <w:t>Allowable Denominator Sub-sets</w:t>
            </w:r>
          </w:p>
        </w:tc>
        <w:tc>
          <w:tcPr>
            <w:tcW w:w="7830" w:type="dxa"/>
          </w:tcPr>
          <w:p w:rsidR="00456563" w:rsidRDefault="00456563" w:rsidP="000E4529">
            <w:pPr>
              <w:pStyle w:val="NoSpacing"/>
            </w:pPr>
            <w:r>
              <w:t>All denominator subsets are permissible for this outcome</w:t>
            </w:r>
          </w:p>
          <w:p w:rsidR="00456563" w:rsidRPr="005026C6" w:rsidRDefault="00456563" w:rsidP="00CB15B0">
            <w:pPr>
              <w:pStyle w:val="NoSpacing"/>
              <w:rPr>
                <w:rFonts w:cs="Calibri"/>
              </w:rPr>
            </w:pPr>
          </w:p>
        </w:tc>
      </w:tr>
      <w:tr w:rsidR="00456563" w:rsidRPr="005026C6" w:rsidTr="005026C6">
        <w:tc>
          <w:tcPr>
            <w:tcW w:w="2088" w:type="dxa"/>
          </w:tcPr>
          <w:p w:rsidR="00456563" w:rsidRPr="005026C6" w:rsidRDefault="00456563" w:rsidP="00CB15B0">
            <w:pPr>
              <w:pStyle w:val="NoSpacing"/>
              <w:rPr>
                <w:rFonts w:cs="Calibri"/>
                <w:b/>
              </w:rPr>
            </w:pPr>
            <w:r w:rsidRPr="00601154">
              <w:rPr>
                <w:b/>
              </w:rPr>
              <w:t>Optional Pretest Score Boundary</w:t>
            </w:r>
          </w:p>
        </w:tc>
        <w:tc>
          <w:tcPr>
            <w:tcW w:w="7830" w:type="dxa"/>
          </w:tcPr>
          <w:p w:rsidR="00456563" w:rsidRPr="005026C6" w:rsidRDefault="00456563" w:rsidP="00FE333A">
            <w:pPr>
              <w:pStyle w:val="NoSpacing"/>
              <w:rPr>
                <w:rFonts w:cs="Calibri"/>
              </w:rPr>
            </w:pPr>
            <w:r w:rsidRPr="004C4E93">
              <w:t>Providers reporting this measure have the option of defining a pretest score</w:t>
            </w:r>
            <w:r>
              <w:t xml:space="preserve"> boundary </w:t>
            </w:r>
            <w:r w:rsidRPr="004C4E93">
              <w:t>during their baseline measurement years</w:t>
            </w:r>
            <w:r>
              <w:t xml:space="preserve"> to normalize their population throughout reporting years</w:t>
            </w:r>
            <w:r w:rsidRPr="004C4E93">
              <w:t>, where only individuals with a pretest score that falls within a specified range (one or two standard deviations from the baseline pretest mean) are included in calculations</w:t>
            </w:r>
            <w:r>
              <w:t xml:space="preserve"> for</w:t>
            </w:r>
            <w:r w:rsidRPr="004C4E93">
              <w:t xml:space="preserve"> baseline, DY4, and DY5 reporting. Providers using a pretest score boundary must follow the instructions included in the “Reporting </w:t>
            </w:r>
            <w:r>
              <w:t>Guidelines for Pre and Postt</w:t>
            </w:r>
            <w:r w:rsidRPr="004C4E93">
              <w:t xml:space="preserve">est Tools” </w:t>
            </w:r>
            <w:r>
              <w:t xml:space="preserve">document located </w:t>
            </w:r>
            <w:r w:rsidRPr="008815CC">
              <w:t xml:space="preserve">on the </w:t>
            </w:r>
            <w:hyperlink r:id="rId14" w:history="1">
              <w:r w:rsidRPr="008815CC">
                <w:rPr>
                  <w:rStyle w:val="Hyperlink"/>
                </w:rPr>
                <w:t>Tools and Guidelines for Regional Healthcare Partnership Participants</w:t>
              </w:r>
            </w:hyperlink>
            <w:r w:rsidRPr="008815CC">
              <w:t xml:space="preserve"> page under Category 3.</w:t>
            </w:r>
          </w:p>
        </w:tc>
      </w:tr>
      <w:tr w:rsidR="00456563" w:rsidRPr="005026C6" w:rsidTr="005026C6">
        <w:tc>
          <w:tcPr>
            <w:tcW w:w="2088" w:type="dxa"/>
          </w:tcPr>
          <w:p w:rsidR="00456563" w:rsidRPr="005026C6" w:rsidRDefault="00456563" w:rsidP="00CB15B0">
            <w:pPr>
              <w:pStyle w:val="NoSpacing"/>
              <w:rPr>
                <w:rFonts w:cs="Calibri"/>
                <w:b/>
              </w:rPr>
            </w:pPr>
            <w:r w:rsidRPr="00601154">
              <w:rPr>
                <w:b/>
              </w:rPr>
              <w:t>Reporting Survey Administration</w:t>
            </w:r>
          </w:p>
        </w:tc>
        <w:tc>
          <w:tcPr>
            <w:tcW w:w="7830" w:type="dxa"/>
          </w:tcPr>
          <w:p w:rsidR="00456563" w:rsidRPr="005026C6" w:rsidRDefault="00456563" w:rsidP="00FE333A">
            <w:pPr>
              <w:pStyle w:val="NoSpacing"/>
              <w:rPr>
                <w:rFonts w:cs="Calibri"/>
              </w:rPr>
            </w:pPr>
            <w:r w:rsidRPr="004C4E93">
              <w:t>Providers will report details of their survey administration methodology and selected reporting scenario as supporting documentation submitted at baseline reporting. Providers will use the Sur</w:t>
            </w:r>
            <w:r>
              <w:t>vey Administration Form located</w:t>
            </w:r>
            <w:r w:rsidRPr="008815CC">
              <w:t xml:space="preserve"> on the </w:t>
            </w:r>
            <w:hyperlink r:id="rId15" w:history="1">
              <w:r w:rsidRPr="008815CC">
                <w:rPr>
                  <w:rStyle w:val="Hyperlink"/>
                </w:rPr>
                <w:t>Tools and Guidelines for Regional Healthcare Partnership Participants</w:t>
              </w:r>
            </w:hyperlink>
            <w:r w:rsidRPr="008815CC">
              <w:t xml:space="preserve"> page under Category 3.</w:t>
            </w:r>
          </w:p>
        </w:tc>
      </w:tr>
      <w:tr w:rsidR="00456563" w:rsidRPr="005026C6" w:rsidTr="005026C6">
        <w:tc>
          <w:tcPr>
            <w:tcW w:w="2088" w:type="dxa"/>
          </w:tcPr>
          <w:p w:rsidR="00456563" w:rsidRPr="005026C6" w:rsidRDefault="00456563" w:rsidP="00CB15B0">
            <w:pPr>
              <w:pStyle w:val="NoSpacing"/>
              <w:rPr>
                <w:rFonts w:cs="Calibri"/>
                <w:b/>
              </w:rPr>
            </w:pPr>
            <w:r w:rsidRPr="005026C6">
              <w:rPr>
                <w:rFonts w:cs="Calibri"/>
                <w:b/>
              </w:rPr>
              <w:t>Additional Considerations for Providers</w:t>
            </w:r>
          </w:p>
        </w:tc>
        <w:tc>
          <w:tcPr>
            <w:tcW w:w="7830" w:type="dxa"/>
          </w:tcPr>
          <w:p w:rsidR="00456563" w:rsidRPr="005026C6" w:rsidRDefault="00456563" w:rsidP="00FE333A">
            <w:pPr>
              <w:pStyle w:val="NoSpacing"/>
              <w:rPr>
                <w:rFonts w:cs="Calibri"/>
              </w:rPr>
            </w:pPr>
            <w:r w:rsidRPr="005026C6">
              <w:rPr>
                <w:rFonts w:cs="Calibri"/>
              </w:rPr>
              <w:t>To be used by providers to measure the impact of clinical care, therapeutic interventions, and improvement in functioning.</w:t>
            </w:r>
          </w:p>
          <w:p w:rsidR="00456563" w:rsidRPr="005026C6" w:rsidRDefault="00456563" w:rsidP="00FE333A">
            <w:pPr>
              <w:pStyle w:val="NoSpacing"/>
              <w:rPr>
                <w:rFonts w:cs="Calibri"/>
              </w:rPr>
            </w:pPr>
          </w:p>
          <w:p w:rsidR="00456563" w:rsidRPr="005026C6" w:rsidRDefault="00456563" w:rsidP="005026C6">
            <w:pPr>
              <w:spacing w:after="0" w:line="240" w:lineRule="auto"/>
            </w:pPr>
            <w:r w:rsidRPr="005026C6">
              <w:rPr>
                <w:rFonts w:cs="Calibri"/>
              </w:rPr>
              <w:t xml:space="preserve">Providers should for follow survey administration, sampling, and scoring guidelines, unless a DSRIP specific modification has been noted. </w:t>
            </w:r>
            <w:r w:rsidRPr="005026C6">
              <w:t xml:space="preserve">Surveys are validated in their entirety and providers should plan on using as specified by the survey developer. </w:t>
            </w:r>
          </w:p>
          <w:p w:rsidR="00456563" w:rsidRPr="005026C6" w:rsidRDefault="00456563" w:rsidP="00FE333A">
            <w:pPr>
              <w:pStyle w:val="NoSpacing"/>
              <w:rPr>
                <w:rFonts w:cs="Calibri"/>
              </w:rPr>
            </w:pPr>
          </w:p>
        </w:tc>
      </w:tr>
      <w:tr w:rsidR="00456563" w:rsidRPr="005026C6" w:rsidTr="005026C6">
        <w:tc>
          <w:tcPr>
            <w:tcW w:w="2088" w:type="dxa"/>
          </w:tcPr>
          <w:p w:rsidR="00456563" w:rsidRPr="005026C6" w:rsidRDefault="00456563" w:rsidP="00CB15B0">
            <w:pPr>
              <w:pStyle w:val="NoSpacing"/>
              <w:rPr>
                <w:rFonts w:cs="Calibri"/>
                <w:b/>
              </w:rPr>
            </w:pPr>
            <w:r w:rsidRPr="005026C6">
              <w:rPr>
                <w:rFonts w:cs="Calibri"/>
                <w:b/>
              </w:rPr>
              <w:t>Data Source</w:t>
            </w:r>
          </w:p>
        </w:tc>
        <w:tc>
          <w:tcPr>
            <w:tcW w:w="7830" w:type="dxa"/>
          </w:tcPr>
          <w:p w:rsidR="00456563" w:rsidRPr="005026C6" w:rsidRDefault="00456563" w:rsidP="00866AE9">
            <w:pPr>
              <w:pStyle w:val="NoSpacing"/>
              <w:rPr>
                <w:rFonts w:cs="Calibri"/>
              </w:rPr>
            </w:pPr>
            <w:r w:rsidRPr="005026C6">
              <w:rPr>
                <w:rFonts w:cs="Calibri"/>
              </w:rPr>
              <w:t>Survey</w:t>
            </w:r>
            <w:r>
              <w:rPr>
                <w:rFonts w:cs="Calibri"/>
              </w:rPr>
              <w:t>/instrument</w:t>
            </w:r>
            <w:r w:rsidRPr="005026C6">
              <w:rPr>
                <w:rFonts w:cs="Calibri"/>
              </w:rPr>
              <w:t xml:space="preserve"> report</w:t>
            </w:r>
          </w:p>
          <w:p w:rsidR="00456563" w:rsidRPr="005026C6" w:rsidRDefault="00456563" w:rsidP="00866AE9">
            <w:pPr>
              <w:pStyle w:val="NoSpacing"/>
              <w:rPr>
                <w:rFonts w:cs="Calibri"/>
              </w:rPr>
            </w:pPr>
          </w:p>
        </w:tc>
      </w:tr>
    </w:tbl>
    <w:p w:rsidR="00356CF4" w:rsidRPr="00DD1C68" w:rsidRDefault="00356CF4" w:rsidP="007C7C85">
      <w:pPr>
        <w:pStyle w:val="Heading2"/>
        <w:rPr>
          <w:rFonts w:ascii="Calibri" w:hAnsi="Calibri" w:cs="Calibri"/>
          <w:sz w:val="22"/>
          <w:szCs w:val="22"/>
        </w:rPr>
      </w:pPr>
    </w:p>
    <w:sectPr w:rsidR="00356CF4" w:rsidRPr="00DD1C68" w:rsidSect="007837D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6C" w:rsidRDefault="0049696C" w:rsidP="00F63191">
      <w:pPr>
        <w:spacing w:after="0" w:line="240" w:lineRule="auto"/>
      </w:pPr>
      <w:r>
        <w:separator/>
      </w:r>
    </w:p>
  </w:endnote>
  <w:endnote w:type="continuationSeparator" w:id="0">
    <w:p w:rsidR="0049696C" w:rsidRDefault="0049696C"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D8" w:rsidRDefault="00677CD8">
    <w:pPr>
      <w:pStyle w:val="Footer"/>
    </w:pPr>
    <w:r>
      <w:t>09/30/14</w:t>
    </w:r>
  </w:p>
  <w:p w:rsidR="00677CD8" w:rsidRDefault="0067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6C" w:rsidRDefault="0049696C" w:rsidP="00F63191">
      <w:pPr>
        <w:spacing w:after="0" w:line="240" w:lineRule="auto"/>
      </w:pPr>
      <w:r>
        <w:separator/>
      </w:r>
    </w:p>
  </w:footnote>
  <w:footnote w:type="continuationSeparator" w:id="0">
    <w:p w:rsidR="0049696C" w:rsidRDefault="0049696C"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49" w:rsidRPr="00A36AF5" w:rsidRDefault="00B00A49" w:rsidP="00F63191">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0CB4"/>
    <w:multiLevelType w:val="hybridMultilevel"/>
    <w:tmpl w:val="38DE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754E68"/>
    <w:multiLevelType w:val="hybridMultilevel"/>
    <w:tmpl w:val="27D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76A8C"/>
    <w:multiLevelType w:val="hybridMultilevel"/>
    <w:tmpl w:val="DF7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A4C3F"/>
    <w:multiLevelType w:val="multilevel"/>
    <w:tmpl w:val="BC88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B2B4F"/>
    <w:multiLevelType w:val="hybridMultilevel"/>
    <w:tmpl w:val="6E8C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47171"/>
    <w:multiLevelType w:val="hybridMultilevel"/>
    <w:tmpl w:val="84E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C2EDD"/>
    <w:multiLevelType w:val="hybridMultilevel"/>
    <w:tmpl w:val="21E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F54B8"/>
    <w:multiLevelType w:val="hybridMultilevel"/>
    <w:tmpl w:val="BA22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C186A"/>
    <w:multiLevelType w:val="hybridMultilevel"/>
    <w:tmpl w:val="EE84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C213F"/>
    <w:multiLevelType w:val="hybridMultilevel"/>
    <w:tmpl w:val="6316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235B9"/>
    <w:multiLevelType w:val="hybridMultilevel"/>
    <w:tmpl w:val="673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12"/>
  </w:num>
  <w:num w:numId="5">
    <w:abstractNumId w:val="3"/>
  </w:num>
  <w:num w:numId="6">
    <w:abstractNumId w:val="10"/>
  </w:num>
  <w:num w:numId="7">
    <w:abstractNumId w:val="18"/>
  </w:num>
  <w:num w:numId="8">
    <w:abstractNumId w:val="11"/>
  </w:num>
  <w:num w:numId="9">
    <w:abstractNumId w:val="8"/>
  </w:num>
  <w:num w:numId="10">
    <w:abstractNumId w:val="20"/>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7"/>
  </w:num>
  <w:num w:numId="17">
    <w:abstractNumId w:val="5"/>
  </w:num>
  <w:num w:numId="18">
    <w:abstractNumId w:val="0"/>
  </w:num>
  <w:num w:numId="19">
    <w:abstractNumId w:val="19"/>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15974"/>
    <w:rsid w:val="00053586"/>
    <w:rsid w:val="000760E4"/>
    <w:rsid w:val="000D1199"/>
    <w:rsid w:val="000D28C2"/>
    <w:rsid w:val="000D5A2D"/>
    <w:rsid w:val="000E4529"/>
    <w:rsid w:val="000E7EED"/>
    <w:rsid w:val="00100A2F"/>
    <w:rsid w:val="00107C1A"/>
    <w:rsid w:val="00110383"/>
    <w:rsid w:val="0011709A"/>
    <w:rsid w:val="001401D3"/>
    <w:rsid w:val="00154EBB"/>
    <w:rsid w:val="00165D76"/>
    <w:rsid w:val="001B0C38"/>
    <w:rsid w:val="001D6BEA"/>
    <w:rsid w:val="001F581E"/>
    <w:rsid w:val="00200976"/>
    <w:rsid w:val="0020269A"/>
    <w:rsid w:val="00245754"/>
    <w:rsid w:val="002617FF"/>
    <w:rsid w:val="002628C8"/>
    <w:rsid w:val="0027019B"/>
    <w:rsid w:val="00271E53"/>
    <w:rsid w:val="00276232"/>
    <w:rsid w:val="00281B4A"/>
    <w:rsid w:val="002845C2"/>
    <w:rsid w:val="002B4E7A"/>
    <w:rsid w:val="0032246B"/>
    <w:rsid w:val="00356CF4"/>
    <w:rsid w:val="00360299"/>
    <w:rsid w:val="00375652"/>
    <w:rsid w:val="00383516"/>
    <w:rsid w:val="003844DB"/>
    <w:rsid w:val="00394755"/>
    <w:rsid w:val="003B4EBB"/>
    <w:rsid w:val="003F4E8D"/>
    <w:rsid w:val="00406322"/>
    <w:rsid w:val="00416E44"/>
    <w:rsid w:val="00456563"/>
    <w:rsid w:val="004876A2"/>
    <w:rsid w:val="0049609C"/>
    <w:rsid w:val="0049696C"/>
    <w:rsid w:val="005026C6"/>
    <w:rsid w:val="00502BE4"/>
    <w:rsid w:val="0050562C"/>
    <w:rsid w:val="00506BC5"/>
    <w:rsid w:val="005143C7"/>
    <w:rsid w:val="0052689E"/>
    <w:rsid w:val="00536799"/>
    <w:rsid w:val="005802A0"/>
    <w:rsid w:val="005B79DD"/>
    <w:rsid w:val="005C70A1"/>
    <w:rsid w:val="005F3EE8"/>
    <w:rsid w:val="005F4D43"/>
    <w:rsid w:val="00635790"/>
    <w:rsid w:val="0065075A"/>
    <w:rsid w:val="006644C7"/>
    <w:rsid w:val="00665036"/>
    <w:rsid w:val="00677CD8"/>
    <w:rsid w:val="006B070E"/>
    <w:rsid w:val="006B32EF"/>
    <w:rsid w:val="006C7F2E"/>
    <w:rsid w:val="00700B3F"/>
    <w:rsid w:val="00717371"/>
    <w:rsid w:val="00743628"/>
    <w:rsid w:val="00760D27"/>
    <w:rsid w:val="007837D9"/>
    <w:rsid w:val="007B363B"/>
    <w:rsid w:val="007C104F"/>
    <w:rsid w:val="007C728B"/>
    <w:rsid w:val="007C7C85"/>
    <w:rsid w:val="007D48CD"/>
    <w:rsid w:val="007E0395"/>
    <w:rsid w:val="007E70DD"/>
    <w:rsid w:val="007F1266"/>
    <w:rsid w:val="007F675B"/>
    <w:rsid w:val="007F7C07"/>
    <w:rsid w:val="008177EF"/>
    <w:rsid w:val="00823868"/>
    <w:rsid w:val="00827557"/>
    <w:rsid w:val="00866AE9"/>
    <w:rsid w:val="0088642E"/>
    <w:rsid w:val="00886E0E"/>
    <w:rsid w:val="008A5405"/>
    <w:rsid w:val="008D1A8E"/>
    <w:rsid w:val="008F249E"/>
    <w:rsid w:val="008F451B"/>
    <w:rsid w:val="00947B43"/>
    <w:rsid w:val="00953EC0"/>
    <w:rsid w:val="00956F2B"/>
    <w:rsid w:val="00965A2A"/>
    <w:rsid w:val="00967948"/>
    <w:rsid w:val="00994A41"/>
    <w:rsid w:val="00996DD5"/>
    <w:rsid w:val="009C6EA3"/>
    <w:rsid w:val="009F7E66"/>
    <w:rsid w:val="00A11BD9"/>
    <w:rsid w:val="00A36AF5"/>
    <w:rsid w:val="00A75303"/>
    <w:rsid w:val="00A82574"/>
    <w:rsid w:val="00AC3A97"/>
    <w:rsid w:val="00AD706B"/>
    <w:rsid w:val="00AF3F76"/>
    <w:rsid w:val="00B00A49"/>
    <w:rsid w:val="00B05CBF"/>
    <w:rsid w:val="00B0608D"/>
    <w:rsid w:val="00B07279"/>
    <w:rsid w:val="00B20462"/>
    <w:rsid w:val="00B52FF9"/>
    <w:rsid w:val="00B546CF"/>
    <w:rsid w:val="00B65D92"/>
    <w:rsid w:val="00BA61F1"/>
    <w:rsid w:val="00BA7796"/>
    <w:rsid w:val="00BB1431"/>
    <w:rsid w:val="00BC4643"/>
    <w:rsid w:val="00C01E6F"/>
    <w:rsid w:val="00C35B2B"/>
    <w:rsid w:val="00C41631"/>
    <w:rsid w:val="00C74E62"/>
    <w:rsid w:val="00C86C48"/>
    <w:rsid w:val="00C9758A"/>
    <w:rsid w:val="00CA4C08"/>
    <w:rsid w:val="00CB15B0"/>
    <w:rsid w:val="00CC28BC"/>
    <w:rsid w:val="00CD7069"/>
    <w:rsid w:val="00D1777E"/>
    <w:rsid w:val="00D2049F"/>
    <w:rsid w:val="00D63CD3"/>
    <w:rsid w:val="00D90A63"/>
    <w:rsid w:val="00DA1196"/>
    <w:rsid w:val="00DB6499"/>
    <w:rsid w:val="00DD1C68"/>
    <w:rsid w:val="00DE660A"/>
    <w:rsid w:val="00E02822"/>
    <w:rsid w:val="00E43145"/>
    <w:rsid w:val="00EF333D"/>
    <w:rsid w:val="00F05C01"/>
    <w:rsid w:val="00F069C3"/>
    <w:rsid w:val="00F06C5E"/>
    <w:rsid w:val="00F44D71"/>
    <w:rsid w:val="00F608F3"/>
    <w:rsid w:val="00F63191"/>
    <w:rsid w:val="00F64CD1"/>
    <w:rsid w:val="00F76673"/>
    <w:rsid w:val="00F927B0"/>
    <w:rsid w:val="00FE24AC"/>
    <w:rsid w:val="00FE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after="200" w:line="276" w:lineRule="auto"/>
    </w:pPr>
    <w:rPr>
      <w:sz w:val="22"/>
      <w:szCs w:val="22"/>
    </w:rPr>
  </w:style>
  <w:style w:type="paragraph" w:styleId="Heading1">
    <w:name w:val="heading 1"/>
    <w:basedOn w:val="Normal"/>
    <w:next w:val="Normal"/>
    <w:link w:val="Heading1Char"/>
    <w:uiPriority w:val="9"/>
    <w:qFormat/>
    <w:rsid w:val="00AD706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06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D706B"/>
    <w:rPr>
      <w:rFonts w:ascii="Cambria" w:eastAsia="Times New Roman" w:hAnsi="Cambria" w:cs="Times New Roman"/>
      <w:b/>
      <w:bCs/>
      <w:color w:val="4F81BD"/>
      <w:sz w:val="26"/>
      <w:szCs w:val="26"/>
    </w:rPr>
  </w:style>
  <w:style w:type="paragraph" w:styleId="NoSpacing">
    <w:name w:val="No Spacing"/>
    <w:aliases w:val="Body"/>
    <w:uiPriority w:val="1"/>
    <w:qFormat/>
    <w:rsid w:val="00AD706B"/>
    <w:rPr>
      <w:sz w:val="22"/>
      <w:szCs w:val="22"/>
    </w:rPr>
  </w:style>
  <w:style w:type="paragraph" w:styleId="Title">
    <w:name w:val="Title"/>
    <w:basedOn w:val="Normal"/>
    <w:next w:val="Normal"/>
    <w:link w:val="TitleChar"/>
    <w:uiPriority w:val="10"/>
    <w:qFormat/>
    <w:rsid w:val="00AD70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D706B"/>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AD7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D706B"/>
    <w:rPr>
      <w:color w:val="0000FF"/>
      <w:u w:val="single"/>
    </w:rPr>
  </w:style>
  <w:style w:type="character" w:styleId="CommentReference">
    <w:name w:val="annotation reference"/>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06B"/>
    <w:rPr>
      <w:rFonts w:ascii="Tahoma" w:hAnsi="Tahoma" w:cs="Tahoma"/>
      <w:sz w:val="16"/>
      <w:szCs w:val="16"/>
    </w:rPr>
  </w:style>
  <w:style w:type="paragraph" w:styleId="Revision">
    <w:name w:val="Revision"/>
    <w:hidden/>
    <w:uiPriority w:val="99"/>
    <w:semiHidden/>
    <w:rsid w:val="00AD706B"/>
    <w:rPr>
      <w:sz w:val="22"/>
      <w:szCs w:val="22"/>
    </w:r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Default">
    <w:name w:val="Default"/>
    <w:rsid w:val="001F581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49609C"/>
    <w:rPr>
      <w:color w:val="800080"/>
      <w:u w:val="single"/>
    </w:rPr>
  </w:style>
  <w:style w:type="character" w:styleId="Strong">
    <w:name w:val="Strong"/>
    <w:uiPriority w:val="22"/>
    <w:qFormat/>
    <w:rsid w:val="00154EBB"/>
    <w:rPr>
      <w:b/>
      <w:bCs/>
    </w:rPr>
  </w:style>
  <w:style w:type="paragraph" w:styleId="ListParagraph">
    <w:name w:val="List Paragraph"/>
    <w:basedOn w:val="Normal"/>
    <w:uiPriority w:val="34"/>
    <w:qFormat/>
    <w:rsid w:val="00456563"/>
    <w:pPr>
      <w:spacing w:after="0" w:line="240" w:lineRule="auto"/>
      <w:ind w:left="720"/>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after="200" w:line="276" w:lineRule="auto"/>
    </w:pPr>
    <w:rPr>
      <w:sz w:val="22"/>
      <w:szCs w:val="22"/>
    </w:rPr>
  </w:style>
  <w:style w:type="paragraph" w:styleId="Heading1">
    <w:name w:val="heading 1"/>
    <w:basedOn w:val="Normal"/>
    <w:next w:val="Normal"/>
    <w:link w:val="Heading1Char"/>
    <w:uiPriority w:val="9"/>
    <w:qFormat/>
    <w:rsid w:val="00AD706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06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D706B"/>
    <w:rPr>
      <w:rFonts w:ascii="Cambria" w:eastAsia="Times New Roman" w:hAnsi="Cambria" w:cs="Times New Roman"/>
      <w:b/>
      <w:bCs/>
      <w:color w:val="4F81BD"/>
      <w:sz w:val="26"/>
      <w:szCs w:val="26"/>
    </w:rPr>
  </w:style>
  <w:style w:type="paragraph" w:styleId="NoSpacing">
    <w:name w:val="No Spacing"/>
    <w:aliases w:val="Body"/>
    <w:uiPriority w:val="1"/>
    <w:qFormat/>
    <w:rsid w:val="00AD706B"/>
    <w:rPr>
      <w:sz w:val="22"/>
      <w:szCs w:val="22"/>
    </w:rPr>
  </w:style>
  <w:style w:type="paragraph" w:styleId="Title">
    <w:name w:val="Title"/>
    <w:basedOn w:val="Normal"/>
    <w:next w:val="Normal"/>
    <w:link w:val="TitleChar"/>
    <w:uiPriority w:val="10"/>
    <w:qFormat/>
    <w:rsid w:val="00AD70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D706B"/>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AD7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D706B"/>
    <w:rPr>
      <w:color w:val="0000FF"/>
      <w:u w:val="single"/>
    </w:rPr>
  </w:style>
  <w:style w:type="character" w:styleId="CommentReference">
    <w:name w:val="annotation reference"/>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06B"/>
    <w:rPr>
      <w:rFonts w:ascii="Tahoma" w:hAnsi="Tahoma" w:cs="Tahoma"/>
      <w:sz w:val="16"/>
      <w:szCs w:val="16"/>
    </w:rPr>
  </w:style>
  <w:style w:type="paragraph" w:styleId="Revision">
    <w:name w:val="Revision"/>
    <w:hidden/>
    <w:uiPriority w:val="99"/>
    <w:semiHidden/>
    <w:rsid w:val="00AD706B"/>
    <w:rPr>
      <w:sz w:val="22"/>
      <w:szCs w:val="22"/>
    </w:r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Default">
    <w:name w:val="Default"/>
    <w:rsid w:val="001F581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49609C"/>
    <w:rPr>
      <w:color w:val="800080"/>
      <w:u w:val="single"/>
    </w:rPr>
  </w:style>
  <w:style w:type="character" w:styleId="Strong">
    <w:name w:val="Strong"/>
    <w:uiPriority w:val="22"/>
    <w:qFormat/>
    <w:rsid w:val="00154EBB"/>
    <w:rPr>
      <w:b/>
      <w:bCs/>
    </w:rPr>
  </w:style>
  <w:style w:type="paragraph" w:styleId="ListParagraph">
    <w:name w:val="List Paragraph"/>
    <w:basedOn w:val="Normal"/>
    <w:uiPriority w:val="34"/>
    <w:qFormat/>
    <w:rsid w:val="00456563"/>
    <w:pPr>
      <w:spacing w:after="0" w:line="240"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380587057">
      <w:bodyDiv w:val="1"/>
      <w:marLeft w:val="0"/>
      <w:marRight w:val="0"/>
      <w:marTop w:val="0"/>
      <w:marBottom w:val="0"/>
      <w:divBdr>
        <w:top w:val="none" w:sz="0" w:space="0" w:color="auto"/>
        <w:left w:val="none" w:sz="0" w:space="0" w:color="auto"/>
        <w:bottom w:val="none" w:sz="0" w:space="0" w:color="auto"/>
        <w:right w:val="none" w:sz="0" w:space="0" w:color="auto"/>
      </w:divBdr>
    </w:div>
    <w:div w:id="1401831777">
      <w:bodyDiv w:val="1"/>
      <w:marLeft w:val="0"/>
      <w:marRight w:val="0"/>
      <w:marTop w:val="0"/>
      <w:marBottom w:val="0"/>
      <w:divBdr>
        <w:top w:val="none" w:sz="0" w:space="0" w:color="auto"/>
        <w:left w:val="none" w:sz="0" w:space="0" w:color="auto"/>
        <w:bottom w:val="none" w:sz="0" w:space="0" w:color="auto"/>
        <w:right w:val="none" w:sz="0" w:space="0" w:color="auto"/>
      </w:divBdr>
      <w:divsChild>
        <w:div w:id="1247808692">
          <w:marLeft w:val="0"/>
          <w:marRight w:val="0"/>
          <w:marTop w:val="0"/>
          <w:marBottom w:val="0"/>
          <w:divBdr>
            <w:top w:val="none" w:sz="0" w:space="0" w:color="auto"/>
            <w:left w:val="none" w:sz="0" w:space="0" w:color="auto"/>
            <w:bottom w:val="none" w:sz="0" w:space="0" w:color="auto"/>
            <w:right w:val="none" w:sz="0" w:space="0" w:color="auto"/>
          </w:divBdr>
          <w:divsChild>
            <w:div w:id="2106999754">
              <w:marLeft w:val="0"/>
              <w:marRight w:val="0"/>
              <w:marTop w:val="0"/>
              <w:marBottom w:val="0"/>
              <w:divBdr>
                <w:top w:val="none" w:sz="0" w:space="0" w:color="auto"/>
                <w:left w:val="none" w:sz="0" w:space="0" w:color="auto"/>
                <w:bottom w:val="none" w:sz="0" w:space="0" w:color="auto"/>
                <w:right w:val="none" w:sz="0" w:space="0" w:color="auto"/>
              </w:divBdr>
              <w:divsChild>
                <w:div w:id="1889877920">
                  <w:marLeft w:val="0"/>
                  <w:marRight w:val="0"/>
                  <w:marTop w:val="0"/>
                  <w:marBottom w:val="0"/>
                  <w:divBdr>
                    <w:top w:val="none" w:sz="0" w:space="0" w:color="auto"/>
                    <w:left w:val="none" w:sz="0" w:space="0" w:color="auto"/>
                    <w:bottom w:val="none" w:sz="0" w:space="0" w:color="auto"/>
                    <w:right w:val="none" w:sz="0" w:space="0" w:color="auto"/>
                  </w:divBdr>
                  <w:divsChild>
                    <w:div w:id="2080513125">
                      <w:marLeft w:val="0"/>
                      <w:marRight w:val="0"/>
                      <w:marTop w:val="0"/>
                      <w:marBottom w:val="0"/>
                      <w:divBdr>
                        <w:top w:val="none" w:sz="0" w:space="0" w:color="auto"/>
                        <w:left w:val="none" w:sz="0" w:space="0" w:color="auto"/>
                        <w:bottom w:val="none" w:sz="0" w:space="0" w:color="auto"/>
                        <w:right w:val="none" w:sz="0" w:space="0" w:color="auto"/>
                      </w:divBdr>
                      <w:divsChild>
                        <w:div w:id="825824694">
                          <w:marLeft w:val="0"/>
                          <w:marRight w:val="195"/>
                          <w:marTop w:val="0"/>
                          <w:marBottom w:val="0"/>
                          <w:divBdr>
                            <w:top w:val="none" w:sz="0" w:space="0" w:color="auto"/>
                            <w:left w:val="none" w:sz="0" w:space="0" w:color="auto"/>
                            <w:bottom w:val="none" w:sz="0" w:space="0" w:color="auto"/>
                            <w:right w:val="none" w:sz="0" w:space="0" w:color="auto"/>
                          </w:divBdr>
                          <w:divsChild>
                            <w:div w:id="19982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13163">
      <w:bodyDiv w:val="1"/>
      <w:marLeft w:val="0"/>
      <w:marRight w:val="0"/>
      <w:marTop w:val="0"/>
      <w:marBottom w:val="0"/>
      <w:divBdr>
        <w:top w:val="none" w:sz="0" w:space="0" w:color="auto"/>
        <w:left w:val="none" w:sz="0" w:space="0" w:color="auto"/>
        <w:bottom w:val="none" w:sz="0" w:space="0" w:color="auto"/>
        <w:right w:val="none" w:sz="0" w:space="0" w:color="auto"/>
      </w:divBdr>
    </w:div>
    <w:div w:id="1647079407">
      <w:bodyDiv w:val="1"/>
      <w:marLeft w:val="0"/>
      <w:marRight w:val="0"/>
      <w:marTop w:val="0"/>
      <w:marBottom w:val="0"/>
      <w:divBdr>
        <w:top w:val="none" w:sz="0" w:space="0" w:color="auto"/>
        <w:left w:val="none" w:sz="0" w:space="0" w:color="auto"/>
        <w:bottom w:val="none" w:sz="0" w:space="0" w:color="auto"/>
        <w:right w:val="none" w:sz="0" w:space="0" w:color="auto"/>
      </w:divBdr>
    </w:div>
    <w:div w:id="18026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parinc.com/Products/Product.aspx?ProductID=D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edinc.com/customer/productView.aspx?ID=35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spublish.com/store/p/2743/developmental-profile-3-dp-3" TargetMode="External"/><Relationship Id="rId5" Type="http://schemas.openxmlformats.org/officeDocument/2006/relationships/settings" Target="settings.xml"/><Relationship Id="rId15" Type="http://schemas.openxmlformats.org/officeDocument/2006/relationships/hyperlink" Target="http://www.hhsc.state.tx.us/1115-Waiver-Guideline.shtml" TargetMode="External"/><Relationship Id="rId10" Type="http://schemas.openxmlformats.org/officeDocument/2006/relationships/hyperlink" Target="http://www.hhsc.state.tx.us/1115-Waiver-Guideline.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pspublish.com/store/p/2743/developmental-profile-3-dp-3" TargetMode="External"/><Relationship Id="rId14" Type="http://schemas.openxmlformats.org/officeDocument/2006/relationships/hyperlink" Target="http://www.hhsc.state.tx.us/1115-Waiver-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1726-F37B-433C-A85F-8467C0FC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10690</CharactersWithSpaces>
  <SharedDoc>false</SharedDoc>
  <HLinks>
    <vt:vector size="42" baseType="variant">
      <vt:variant>
        <vt:i4>7864365</vt:i4>
      </vt:variant>
      <vt:variant>
        <vt:i4>18</vt:i4>
      </vt:variant>
      <vt:variant>
        <vt:i4>0</vt:i4>
      </vt:variant>
      <vt:variant>
        <vt:i4>5</vt:i4>
      </vt:variant>
      <vt:variant>
        <vt:lpwstr>http://www.hhsc.state.tx.us/1115-Waiver-Guideline.shtml</vt:lpwstr>
      </vt:variant>
      <vt:variant>
        <vt:lpwstr/>
      </vt:variant>
      <vt:variant>
        <vt:i4>7864365</vt:i4>
      </vt:variant>
      <vt:variant>
        <vt:i4>15</vt:i4>
      </vt:variant>
      <vt:variant>
        <vt:i4>0</vt:i4>
      </vt:variant>
      <vt:variant>
        <vt:i4>5</vt:i4>
      </vt:variant>
      <vt:variant>
        <vt:lpwstr>http://www.hhsc.state.tx.us/1115-Waiver-Guideline.shtml</vt:lpwstr>
      </vt:variant>
      <vt:variant>
        <vt:lpwstr/>
      </vt:variant>
      <vt:variant>
        <vt:i4>3276847</vt:i4>
      </vt:variant>
      <vt:variant>
        <vt:i4>12</vt:i4>
      </vt:variant>
      <vt:variant>
        <vt:i4>0</vt:i4>
      </vt:variant>
      <vt:variant>
        <vt:i4>5</vt:i4>
      </vt:variant>
      <vt:variant>
        <vt:lpwstr>http://www4.parinc.com/Products/Product.aspx?ProductID=DP-3</vt:lpwstr>
      </vt:variant>
      <vt:variant>
        <vt:lpwstr/>
      </vt:variant>
      <vt:variant>
        <vt:i4>131156</vt:i4>
      </vt:variant>
      <vt:variant>
        <vt:i4>9</vt:i4>
      </vt:variant>
      <vt:variant>
        <vt:i4>0</vt:i4>
      </vt:variant>
      <vt:variant>
        <vt:i4>5</vt:i4>
      </vt:variant>
      <vt:variant>
        <vt:lpwstr>http://www.proedinc.com/customer/productView.aspx?ID=3553</vt:lpwstr>
      </vt:variant>
      <vt:variant>
        <vt:lpwstr/>
      </vt:variant>
      <vt:variant>
        <vt:i4>3342389</vt:i4>
      </vt:variant>
      <vt:variant>
        <vt:i4>6</vt:i4>
      </vt:variant>
      <vt:variant>
        <vt:i4>0</vt:i4>
      </vt:variant>
      <vt:variant>
        <vt:i4>5</vt:i4>
      </vt:variant>
      <vt:variant>
        <vt:lpwstr>http://www.wpspublish.com/store/p/2743/developmental-profile-3-dp-3</vt:lpwstr>
      </vt:variant>
      <vt:variant>
        <vt:lpwstr/>
      </vt:variant>
      <vt:variant>
        <vt:i4>7864365</vt:i4>
      </vt:variant>
      <vt:variant>
        <vt:i4>3</vt:i4>
      </vt:variant>
      <vt:variant>
        <vt:i4>0</vt:i4>
      </vt:variant>
      <vt:variant>
        <vt:i4>5</vt:i4>
      </vt:variant>
      <vt:variant>
        <vt:lpwstr>http://www.hhsc.state.tx.us/1115-Waiver-Guideline.shtml</vt:lpwstr>
      </vt:variant>
      <vt:variant>
        <vt:lpwstr/>
      </vt:variant>
      <vt:variant>
        <vt:i4>3342389</vt:i4>
      </vt:variant>
      <vt:variant>
        <vt:i4>0</vt:i4>
      </vt:variant>
      <vt:variant>
        <vt:i4>0</vt:i4>
      </vt:variant>
      <vt:variant>
        <vt:i4>5</vt:i4>
      </vt:variant>
      <vt:variant>
        <vt:lpwstr>http://www.wpspublish.com/store/p/2743/developmental-profile-3-dp-3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2014-09-30T21:03:00Z</dcterms:created>
  <dcterms:modified xsi:type="dcterms:W3CDTF">2014-09-30T21:03:00Z</dcterms:modified>
</cp:coreProperties>
</file>