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196" w:rsidRPr="00DD1C68" w:rsidRDefault="00DA1196" w:rsidP="00DA1196">
      <w:pPr>
        <w:pStyle w:val="Heading1"/>
      </w:pPr>
      <w:r w:rsidRPr="00DD1C68">
        <w:t>IT-</w:t>
      </w:r>
      <w:r w:rsidR="005D7BC7">
        <w:t>10.1.a.v:  Pediatric Quality of Life (PedsQL)</w:t>
      </w:r>
    </w:p>
    <w:tbl>
      <w:tblPr>
        <w:tblStyle w:val="TableGrid"/>
        <w:tblW w:w="0" w:type="auto"/>
        <w:tblLook w:val="04A0" w:firstRow="1" w:lastRow="0" w:firstColumn="1" w:lastColumn="0" w:noHBand="0" w:noVBand="1"/>
      </w:tblPr>
      <w:tblGrid>
        <w:gridCol w:w="2603"/>
        <w:gridCol w:w="6973"/>
      </w:tblGrid>
      <w:tr w:rsidR="00AD706B" w:rsidRPr="00DD1C68" w:rsidTr="005247C2">
        <w:trPr>
          <w:tblHeader/>
        </w:trPr>
        <w:tc>
          <w:tcPr>
            <w:tcW w:w="2603" w:type="dxa"/>
            <w:shd w:val="clear" w:color="auto" w:fill="F2F2F2" w:themeFill="background1" w:themeFillShade="F2"/>
          </w:tcPr>
          <w:p w:rsidR="00AD706B" w:rsidRPr="00DD1C68" w:rsidRDefault="00AD706B" w:rsidP="00A374B8">
            <w:pPr>
              <w:pStyle w:val="NoSpacing"/>
              <w:rPr>
                <w:rFonts w:cstheme="minorHAnsi"/>
                <w:b/>
              </w:rPr>
            </w:pPr>
            <w:r w:rsidRPr="00DD1C68">
              <w:rPr>
                <w:rFonts w:cstheme="minorHAnsi"/>
                <w:b/>
              </w:rPr>
              <w:t>Measure Title</w:t>
            </w:r>
          </w:p>
        </w:tc>
        <w:tc>
          <w:tcPr>
            <w:tcW w:w="6973" w:type="dxa"/>
            <w:shd w:val="clear" w:color="auto" w:fill="F2F2F2" w:themeFill="background1" w:themeFillShade="F2"/>
          </w:tcPr>
          <w:p w:rsidR="00AD706B" w:rsidRPr="00DD1C68" w:rsidRDefault="005D7BC7" w:rsidP="00DD1C68">
            <w:pPr>
              <w:spacing w:after="120"/>
              <w:rPr>
                <w:rFonts w:cstheme="minorHAnsi"/>
                <w:b/>
                <w:color w:val="595959" w:themeColor="text1" w:themeTint="A6"/>
              </w:rPr>
            </w:pPr>
            <w:r>
              <w:rPr>
                <w:rFonts w:cstheme="minorHAnsi"/>
                <w:b/>
              </w:rPr>
              <w:t xml:space="preserve">Pediatric Quality of Life </w:t>
            </w:r>
          </w:p>
        </w:tc>
      </w:tr>
      <w:tr w:rsidR="00AD706B" w:rsidRPr="00DD1C68" w:rsidTr="005247C2">
        <w:tc>
          <w:tcPr>
            <w:tcW w:w="2603" w:type="dxa"/>
          </w:tcPr>
          <w:p w:rsidR="00AD706B" w:rsidRPr="00DD1C68" w:rsidRDefault="00AD706B" w:rsidP="00A374B8">
            <w:pPr>
              <w:pStyle w:val="NoSpacing"/>
              <w:rPr>
                <w:rFonts w:cstheme="minorHAnsi"/>
                <w:b/>
              </w:rPr>
            </w:pPr>
            <w:r w:rsidRPr="00DD1C68">
              <w:rPr>
                <w:rFonts w:cstheme="minorHAnsi"/>
                <w:b/>
              </w:rPr>
              <w:t>Description</w:t>
            </w:r>
          </w:p>
        </w:tc>
        <w:tc>
          <w:tcPr>
            <w:tcW w:w="6973" w:type="dxa"/>
          </w:tcPr>
          <w:p w:rsidR="00F90B8F" w:rsidRDefault="00F90B8F" w:rsidP="00F90B8F">
            <w:pPr>
              <w:pStyle w:val="NoSpacing"/>
              <w:rPr>
                <w:rFonts w:cstheme="minorHAnsi"/>
              </w:rPr>
            </w:pPr>
            <w:r w:rsidRPr="00F90B8F">
              <w:rPr>
                <w:rFonts w:cstheme="minorHAnsi"/>
                <w:b/>
              </w:rPr>
              <w:t>IT-10.1.a.v:</w:t>
            </w:r>
            <w:r>
              <w:rPr>
                <w:rFonts w:cstheme="minorHAnsi"/>
              </w:rPr>
              <w:t xml:space="preserve"> PedsQL </w:t>
            </w:r>
            <w:r w:rsidR="005D7BC7" w:rsidRPr="00695CD1">
              <w:rPr>
                <w:rFonts w:eastAsia="Times New Roman" w:cstheme="minorHAnsi"/>
                <w:color w:val="000000"/>
              </w:rPr>
              <w:t xml:space="preserve">Measures health-related quality of life (HRQOL) in healthy children and adolescents and those with acute and chronic health conditions. </w:t>
            </w:r>
            <w:r w:rsidRPr="00695CD1">
              <w:rPr>
                <w:rFonts w:cstheme="minorHAnsi"/>
              </w:rPr>
              <w:t>The </w:t>
            </w:r>
            <w:r w:rsidRPr="00695CD1">
              <w:rPr>
                <w:rFonts w:cstheme="minorHAnsi"/>
                <w:bCs/>
              </w:rPr>
              <w:t>23-item PedsQL</w:t>
            </w:r>
            <w:r w:rsidRPr="00695CD1">
              <w:rPr>
                <w:rFonts w:cstheme="minorHAnsi"/>
                <w:bCs/>
                <w:noProof/>
              </w:rPr>
              <w:drawing>
                <wp:inline distT="0" distB="0" distL="0" distR="0" wp14:anchorId="04224D25" wp14:editId="32F63931">
                  <wp:extent cx="114300" cy="123825"/>
                  <wp:effectExtent l="0" t="0" r="0" b="9525"/>
                  <wp:docPr id="1" name="Picture 1" descr="http://www.pedsql.org/gifs/t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edsql.org/gifs/tm.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695CD1">
              <w:rPr>
                <w:rFonts w:cstheme="minorHAnsi"/>
                <w:bCs/>
              </w:rPr>
              <w:t> Generic Core Scales</w:t>
            </w:r>
            <w:r w:rsidRPr="00695CD1">
              <w:rPr>
                <w:rFonts w:cstheme="minorHAnsi"/>
              </w:rPr>
              <w:t> were designed to measure the core dimensions of health as</w:t>
            </w:r>
            <w:r>
              <w:rPr>
                <w:rFonts w:cstheme="minorHAnsi"/>
              </w:rPr>
              <w:t xml:space="preserve"> delineated by the World Health </w:t>
            </w:r>
            <w:r w:rsidRPr="00695CD1">
              <w:rPr>
                <w:rFonts w:cstheme="minorHAnsi"/>
              </w:rPr>
              <w:t>Organization, as well as</w:t>
            </w:r>
            <w:r>
              <w:rPr>
                <w:rFonts w:cstheme="minorHAnsi"/>
              </w:rPr>
              <w:t xml:space="preserve"> role (school) functioning. The </w:t>
            </w:r>
            <w:r w:rsidRPr="00695CD1">
              <w:rPr>
                <w:rFonts w:cstheme="minorHAnsi"/>
              </w:rPr>
              <w:t>4</w:t>
            </w:r>
            <w:r>
              <w:rPr>
                <w:rFonts w:cstheme="minorHAnsi"/>
              </w:rPr>
              <w:t xml:space="preserve"> </w:t>
            </w:r>
            <w:r w:rsidRPr="00695CD1">
              <w:rPr>
                <w:rFonts w:cstheme="minorHAnsi"/>
                <w:bCs/>
              </w:rPr>
              <w:t>Multidimensional</w:t>
            </w:r>
            <w:r w:rsidRPr="00695CD1">
              <w:rPr>
                <w:rFonts w:cstheme="minorHAnsi"/>
              </w:rPr>
              <w:t> Scales and 3 Summary Scores are:</w:t>
            </w:r>
          </w:p>
          <w:p w:rsidR="00F90B8F" w:rsidRPr="00695CD1" w:rsidRDefault="00F90B8F" w:rsidP="00F90B8F">
            <w:pPr>
              <w:pStyle w:val="NoSpacing"/>
              <w:rPr>
                <w:rFonts w:cstheme="minorHAnsi"/>
              </w:rPr>
            </w:pP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0" w:type="dxa"/>
                <w:left w:w="150" w:type="dxa"/>
                <w:bottom w:w="150" w:type="dxa"/>
                <w:right w:w="150" w:type="dxa"/>
              </w:tblCellMar>
              <w:tblLook w:val="04A0" w:firstRow="1" w:lastRow="0" w:firstColumn="1" w:lastColumn="0" w:noHBand="0" w:noVBand="1"/>
            </w:tblPr>
            <w:tblGrid>
              <w:gridCol w:w="2421"/>
              <w:gridCol w:w="3648"/>
            </w:tblGrid>
            <w:tr w:rsidR="00F90B8F" w:rsidRPr="00695CD1" w:rsidTr="00393092">
              <w:trPr>
                <w:tblCellSpacing w:w="15" w:type="dxa"/>
                <w:jc w:val="center"/>
              </w:trPr>
              <w:tc>
                <w:tcPr>
                  <w:tcW w:w="0" w:type="auto"/>
                  <w:hideMark/>
                </w:tcPr>
                <w:p w:rsidR="00F90B8F" w:rsidRPr="00695CD1" w:rsidRDefault="00F90B8F" w:rsidP="00393092">
                  <w:pPr>
                    <w:pStyle w:val="NoSpacing"/>
                    <w:rPr>
                      <w:rFonts w:cstheme="minorHAnsi"/>
                    </w:rPr>
                  </w:pPr>
                  <w:r w:rsidRPr="00695CD1">
                    <w:rPr>
                      <w:rFonts w:cstheme="minorHAnsi"/>
                      <w:b/>
                      <w:bCs/>
                      <w:u w:val="single"/>
                    </w:rPr>
                    <w:t>Scales</w:t>
                  </w:r>
                  <w:r w:rsidRPr="00695CD1">
                    <w:rPr>
                      <w:rFonts w:cstheme="minorHAnsi"/>
                    </w:rPr>
                    <w:br/>
                  </w:r>
                  <w:r w:rsidRPr="00695CD1">
                    <w:rPr>
                      <w:rFonts w:cstheme="minorHAnsi"/>
                      <w:b/>
                      <w:bCs/>
                    </w:rPr>
                    <w:t>Physical Functioning</w:t>
                  </w:r>
                  <w:r w:rsidRPr="00695CD1">
                    <w:rPr>
                      <w:rFonts w:cstheme="minorHAnsi"/>
                    </w:rPr>
                    <w:br/>
                    <w:t>(8 items)</w:t>
                  </w:r>
                  <w:r w:rsidRPr="00695CD1">
                    <w:rPr>
                      <w:rFonts w:cstheme="minorHAnsi"/>
                    </w:rPr>
                    <w:br/>
                  </w:r>
                  <w:r w:rsidRPr="00695CD1">
                    <w:rPr>
                      <w:rFonts w:cstheme="minorHAnsi"/>
                      <w:b/>
                      <w:bCs/>
                    </w:rPr>
                    <w:t>Emotional Functioning</w:t>
                  </w:r>
                  <w:r w:rsidRPr="00695CD1">
                    <w:rPr>
                      <w:rFonts w:cstheme="minorHAnsi"/>
                    </w:rPr>
                    <w:br/>
                    <w:t>(5 items)</w:t>
                  </w:r>
                  <w:r w:rsidRPr="00695CD1">
                    <w:rPr>
                      <w:rFonts w:cstheme="minorHAnsi"/>
                    </w:rPr>
                    <w:br/>
                  </w:r>
                  <w:r w:rsidRPr="00695CD1">
                    <w:rPr>
                      <w:rFonts w:cstheme="minorHAnsi"/>
                      <w:b/>
                      <w:bCs/>
                    </w:rPr>
                    <w:t>Social Functioning</w:t>
                  </w:r>
                  <w:r w:rsidRPr="00695CD1">
                    <w:rPr>
                      <w:rFonts w:cstheme="minorHAnsi"/>
                    </w:rPr>
                    <w:br/>
                    <w:t>(5 items)</w:t>
                  </w:r>
                  <w:r w:rsidRPr="00695CD1">
                    <w:rPr>
                      <w:rFonts w:cstheme="minorHAnsi"/>
                    </w:rPr>
                    <w:br/>
                  </w:r>
                  <w:r w:rsidRPr="00695CD1">
                    <w:rPr>
                      <w:rFonts w:cstheme="minorHAnsi"/>
                      <w:b/>
                      <w:bCs/>
                    </w:rPr>
                    <w:t>School Functioning</w:t>
                  </w:r>
                  <w:r w:rsidRPr="00695CD1">
                    <w:rPr>
                      <w:rFonts w:cstheme="minorHAnsi"/>
                    </w:rPr>
                    <w:br/>
                    <w:t>(5 items)</w:t>
                  </w:r>
                </w:p>
              </w:tc>
              <w:tc>
                <w:tcPr>
                  <w:tcW w:w="0" w:type="auto"/>
                  <w:hideMark/>
                </w:tcPr>
                <w:p w:rsidR="00F90B8F" w:rsidRPr="00695CD1" w:rsidRDefault="00F90B8F" w:rsidP="00393092">
                  <w:pPr>
                    <w:pStyle w:val="NoSpacing"/>
                    <w:rPr>
                      <w:rFonts w:cstheme="minorHAnsi"/>
                    </w:rPr>
                  </w:pPr>
                  <w:r w:rsidRPr="00695CD1">
                    <w:rPr>
                      <w:rFonts w:cstheme="minorHAnsi"/>
                      <w:b/>
                      <w:bCs/>
                      <w:u w:val="single"/>
                    </w:rPr>
                    <w:t>Summary Scores</w:t>
                  </w:r>
                  <w:r w:rsidRPr="00695CD1">
                    <w:rPr>
                      <w:rFonts w:cstheme="minorHAnsi"/>
                    </w:rPr>
                    <w:br/>
                  </w:r>
                  <w:r w:rsidRPr="00F90B8F">
                    <w:rPr>
                      <w:rFonts w:cstheme="minorHAnsi"/>
                      <w:b/>
                      <w:bCs/>
                    </w:rPr>
                    <w:t>Total Scale Score</w:t>
                  </w:r>
                  <w:r w:rsidRPr="00F90B8F">
                    <w:rPr>
                      <w:rFonts w:cstheme="minorHAnsi"/>
                      <w:b/>
                    </w:rPr>
                    <w:br/>
                  </w:r>
                  <w:r w:rsidRPr="00F90B8F">
                    <w:rPr>
                      <w:rFonts w:cstheme="minorHAnsi"/>
                    </w:rPr>
                    <w:t>(23 items)</w:t>
                  </w:r>
                  <w:r w:rsidRPr="00695CD1">
                    <w:rPr>
                      <w:rFonts w:cstheme="minorHAnsi"/>
                    </w:rPr>
                    <w:br/>
                  </w:r>
                  <w:r w:rsidRPr="00695CD1">
                    <w:rPr>
                      <w:rFonts w:cstheme="minorHAnsi"/>
                      <w:b/>
                      <w:bCs/>
                    </w:rPr>
                    <w:t>Physical Health Summary Score</w:t>
                  </w:r>
                  <w:r w:rsidRPr="00695CD1">
                    <w:rPr>
                      <w:rFonts w:cstheme="minorHAnsi"/>
                    </w:rPr>
                    <w:br/>
                    <w:t>(8 items)</w:t>
                  </w:r>
                  <w:r w:rsidRPr="00695CD1">
                    <w:rPr>
                      <w:rFonts w:cstheme="minorHAnsi"/>
                    </w:rPr>
                    <w:br/>
                  </w:r>
                  <w:r w:rsidRPr="00695CD1">
                    <w:rPr>
                      <w:rFonts w:cstheme="minorHAnsi"/>
                      <w:b/>
                      <w:bCs/>
                    </w:rPr>
                    <w:t>Psychosocial Health Summary Score</w:t>
                  </w:r>
                  <w:r w:rsidRPr="00695CD1">
                    <w:rPr>
                      <w:rFonts w:cstheme="minorHAnsi"/>
                    </w:rPr>
                    <w:br/>
                    <w:t>(15 items)</w:t>
                  </w:r>
                </w:p>
              </w:tc>
            </w:tr>
          </w:tbl>
          <w:p w:rsidR="00AD706B" w:rsidRPr="00DD1C68" w:rsidRDefault="00AD706B" w:rsidP="00DA1196">
            <w:pPr>
              <w:pStyle w:val="Default"/>
              <w:rPr>
                <w:rFonts w:asciiTheme="minorHAnsi" w:hAnsiTheme="minorHAnsi" w:cstheme="minorHAnsi"/>
                <w:color w:val="auto"/>
                <w:sz w:val="22"/>
                <w:szCs w:val="22"/>
              </w:rPr>
            </w:pPr>
          </w:p>
        </w:tc>
      </w:tr>
      <w:tr w:rsidR="000D28C2" w:rsidRPr="00DD1C68" w:rsidTr="005247C2">
        <w:tc>
          <w:tcPr>
            <w:tcW w:w="2603" w:type="dxa"/>
          </w:tcPr>
          <w:p w:rsidR="000D28C2" w:rsidRPr="00DD1C68" w:rsidRDefault="000D28C2" w:rsidP="003E7258">
            <w:pPr>
              <w:pStyle w:val="NoSpacing"/>
              <w:rPr>
                <w:rFonts w:cstheme="minorHAnsi"/>
                <w:b/>
              </w:rPr>
            </w:pPr>
            <w:r w:rsidRPr="00DD1C68">
              <w:rPr>
                <w:rFonts w:cstheme="minorHAnsi"/>
                <w:b/>
              </w:rPr>
              <w:t>Setting</w:t>
            </w:r>
          </w:p>
        </w:tc>
        <w:tc>
          <w:tcPr>
            <w:tcW w:w="6973" w:type="dxa"/>
          </w:tcPr>
          <w:p w:rsidR="000D28C2" w:rsidRPr="00695CD1" w:rsidRDefault="005D7BC7" w:rsidP="003E7258">
            <w:pPr>
              <w:pStyle w:val="NoSpacing"/>
              <w:rPr>
                <w:rFonts w:cstheme="minorHAnsi"/>
              </w:rPr>
            </w:pPr>
            <w:r w:rsidRPr="00695CD1">
              <w:rPr>
                <w:rFonts w:cstheme="minorHAnsi"/>
              </w:rPr>
              <w:t>multiple</w:t>
            </w:r>
          </w:p>
        </w:tc>
      </w:tr>
      <w:tr w:rsidR="000D28C2" w:rsidRPr="00DD1C68" w:rsidTr="005247C2">
        <w:tc>
          <w:tcPr>
            <w:tcW w:w="2603" w:type="dxa"/>
          </w:tcPr>
          <w:p w:rsidR="000D28C2" w:rsidRPr="00DD1C68" w:rsidRDefault="000D28C2" w:rsidP="00A374B8">
            <w:pPr>
              <w:pStyle w:val="NoSpacing"/>
              <w:rPr>
                <w:rFonts w:cstheme="minorHAnsi"/>
                <w:b/>
              </w:rPr>
            </w:pPr>
            <w:r w:rsidRPr="00DD1C68">
              <w:rPr>
                <w:rFonts w:cstheme="minorHAnsi"/>
                <w:b/>
              </w:rPr>
              <w:t>NQF Number</w:t>
            </w:r>
          </w:p>
        </w:tc>
        <w:tc>
          <w:tcPr>
            <w:tcW w:w="6973" w:type="dxa"/>
          </w:tcPr>
          <w:p w:rsidR="000D28C2" w:rsidRPr="00695CD1" w:rsidRDefault="005D7BC7" w:rsidP="00B05CBF">
            <w:pPr>
              <w:pStyle w:val="NoSpacing"/>
              <w:rPr>
                <w:rFonts w:cstheme="minorHAnsi"/>
                <w:i/>
              </w:rPr>
            </w:pPr>
            <w:r w:rsidRPr="00695CD1">
              <w:rPr>
                <w:rFonts w:cstheme="minorHAnsi"/>
                <w:i/>
              </w:rPr>
              <w:t>none</w:t>
            </w:r>
          </w:p>
        </w:tc>
      </w:tr>
      <w:tr w:rsidR="000D28C2" w:rsidRPr="00DD1C68" w:rsidTr="005247C2">
        <w:tc>
          <w:tcPr>
            <w:tcW w:w="2603" w:type="dxa"/>
          </w:tcPr>
          <w:p w:rsidR="000D28C2" w:rsidRPr="00DD1C68" w:rsidRDefault="00AF3F76" w:rsidP="00A374B8">
            <w:pPr>
              <w:pStyle w:val="NoSpacing"/>
              <w:rPr>
                <w:rFonts w:cstheme="minorHAnsi"/>
                <w:b/>
              </w:rPr>
            </w:pPr>
            <w:r>
              <w:rPr>
                <w:rFonts w:cstheme="minorHAnsi"/>
                <w:b/>
              </w:rPr>
              <w:t>Survey Developer</w:t>
            </w:r>
          </w:p>
        </w:tc>
        <w:tc>
          <w:tcPr>
            <w:tcW w:w="6973" w:type="dxa"/>
          </w:tcPr>
          <w:p w:rsidR="000D28C2" w:rsidRPr="00695CD1" w:rsidRDefault="00200395" w:rsidP="00DA1196">
            <w:pPr>
              <w:pStyle w:val="NoSpacing"/>
              <w:rPr>
                <w:rFonts w:cstheme="minorHAnsi"/>
              </w:rPr>
            </w:pPr>
            <w:r w:rsidRPr="00695CD1">
              <w:rPr>
                <w:rFonts w:cstheme="minorHAnsi"/>
                <w:color w:val="000000"/>
                <w:shd w:val="clear" w:color="auto" w:fill="FFFFFF"/>
              </w:rPr>
              <w:t>James W. Varni, Ph.D.</w:t>
            </w:r>
          </w:p>
        </w:tc>
      </w:tr>
      <w:tr w:rsidR="000D28C2" w:rsidRPr="00DD1C68" w:rsidTr="005247C2">
        <w:tc>
          <w:tcPr>
            <w:tcW w:w="2603" w:type="dxa"/>
          </w:tcPr>
          <w:p w:rsidR="000D28C2" w:rsidRPr="00DD1C68" w:rsidRDefault="000D28C2" w:rsidP="0082416D">
            <w:pPr>
              <w:pStyle w:val="NoSpacing"/>
              <w:rPr>
                <w:rFonts w:cstheme="minorHAnsi"/>
                <w:b/>
              </w:rPr>
            </w:pPr>
            <w:r w:rsidRPr="00DD1C68">
              <w:rPr>
                <w:rFonts w:cstheme="minorHAnsi"/>
                <w:b/>
              </w:rPr>
              <w:t xml:space="preserve">Link to </w:t>
            </w:r>
            <w:r w:rsidR="0082416D">
              <w:rPr>
                <w:rFonts w:cstheme="minorHAnsi"/>
                <w:b/>
              </w:rPr>
              <w:t>tool specifications</w:t>
            </w:r>
          </w:p>
        </w:tc>
        <w:tc>
          <w:tcPr>
            <w:tcW w:w="6973" w:type="dxa"/>
          </w:tcPr>
          <w:p w:rsidR="000D28C2" w:rsidRPr="00200395" w:rsidRDefault="00905A29" w:rsidP="00A374B8">
            <w:pPr>
              <w:pStyle w:val="NoSpacing"/>
              <w:rPr>
                <w:rFonts w:cstheme="minorHAnsi"/>
                <w:i/>
              </w:rPr>
            </w:pPr>
            <w:hyperlink r:id="rId10" w:history="1">
              <w:r w:rsidR="0082416D" w:rsidRPr="00BE18C1">
                <w:rPr>
                  <w:rStyle w:val="Hyperlink"/>
                  <w:rFonts w:cstheme="minorHAnsi"/>
                </w:rPr>
                <w:t>http://www.pedsql.org/</w:t>
              </w:r>
            </w:hyperlink>
          </w:p>
        </w:tc>
      </w:tr>
      <w:tr w:rsidR="00DD1C68" w:rsidRPr="00DD1C68" w:rsidTr="005247C2">
        <w:tc>
          <w:tcPr>
            <w:tcW w:w="2603" w:type="dxa"/>
          </w:tcPr>
          <w:p w:rsidR="00DD1C68" w:rsidRPr="00DD1C68" w:rsidRDefault="00DD1C68" w:rsidP="001401D3">
            <w:pPr>
              <w:pStyle w:val="NoSpacing"/>
              <w:rPr>
                <w:rFonts w:cstheme="minorHAnsi"/>
                <w:b/>
              </w:rPr>
            </w:pPr>
            <w:r>
              <w:rPr>
                <w:rFonts w:cstheme="minorHAnsi"/>
                <w:b/>
              </w:rPr>
              <w:t>Link to survey</w:t>
            </w:r>
          </w:p>
        </w:tc>
        <w:tc>
          <w:tcPr>
            <w:tcW w:w="6973" w:type="dxa"/>
          </w:tcPr>
          <w:p w:rsidR="00DD1C68" w:rsidRPr="00DD1C68" w:rsidRDefault="00905A29" w:rsidP="00AD706B">
            <w:pPr>
              <w:pStyle w:val="NoSpacing"/>
              <w:rPr>
                <w:rFonts w:cstheme="minorHAnsi"/>
              </w:rPr>
            </w:pPr>
            <w:hyperlink r:id="rId11" w:history="1">
              <w:r w:rsidR="0082416D" w:rsidRPr="00A93051">
                <w:rPr>
                  <w:rStyle w:val="Hyperlink"/>
                </w:rPr>
                <w:t>http://www.pedsql.org/pedsql13.html</w:t>
              </w:r>
            </w:hyperlink>
            <w:r w:rsidR="0082416D">
              <w:t xml:space="preserve"> </w:t>
            </w:r>
          </w:p>
        </w:tc>
      </w:tr>
      <w:tr w:rsidR="000D28C2" w:rsidRPr="00DD1C68" w:rsidTr="005247C2">
        <w:tc>
          <w:tcPr>
            <w:tcW w:w="2603" w:type="dxa"/>
          </w:tcPr>
          <w:p w:rsidR="000D28C2" w:rsidRPr="00DD1C68" w:rsidRDefault="000D28C2" w:rsidP="007F1266">
            <w:pPr>
              <w:pStyle w:val="NoSpacing"/>
              <w:rPr>
                <w:rFonts w:cstheme="minorHAnsi"/>
                <w:b/>
              </w:rPr>
            </w:pPr>
            <w:r w:rsidRPr="00DD1C68">
              <w:rPr>
                <w:rFonts w:cstheme="minorHAnsi"/>
                <w:b/>
              </w:rPr>
              <w:t xml:space="preserve">Measure </w:t>
            </w:r>
            <w:r w:rsidR="007F1266">
              <w:rPr>
                <w:rFonts w:cstheme="minorHAnsi"/>
                <w:b/>
              </w:rPr>
              <w:t>t</w:t>
            </w:r>
            <w:r w:rsidRPr="00DD1C68">
              <w:rPr>
                <w:rFonts w:cstheme="minorHAnsi"/>
                <w:b/>
              </w:rPr>
              <w:t>ype</w:t>
            </w:r>
          </w:p>
        </w:tc>
        <w:tc>
          <w:tcPr>
            <w:tcW w:w="6973" w:type="dxa"/>
          </w:tcPr>
          <w:p w:rsidR="000D28C2" w:rsidRPr="00DD1C68" w:rsidRDefault="000D28C2" w:rsidP="00AD706B">
            <w:pPr>
              <w:pStyle w:val="NoSpacing"/>
              <w:rPr>
                <w:rFonts w:cstheme="minorHAnsi"/>
              </w:rPr>
            </w:pPr>
            <w:r w:rsidRPr="00DD1C68">
              <w:rPr>
                <w:rFonts w:cstheme="minorHAnsi"/>
              </w:rPr>
              <w:t>Standalone</w:t>
            </w:r>
          </w:p>
        </w:tc>
      </w:tr>
      <w:tr w:rsidR="005247C2" w:rsidRPr="00DD1C68" w:rsidTr="005247C2">
        <w:tc>
          <w:tcPr>
            <w:tcW w:w="2603" w:type="dxa"/>
          </w:tcPr>
          <w:p w:rsidR="005247C2" w:rsidRPr="00DD1C68" w:rsidRDefault="005247C2" w:rsidP="007F1266">
            <w:pPr>
              <w:pStyle w:val="NoSpacing"/>
              <w:rPr>
                <w:rFonts w:cstheme="minorHAnsi"/>
                <w:b/>
              </w:rPr>
            </w:pPr>
            <w:r w:rsidRPr="004C4E93">
              <w:softHyphen/>
            </w:r>
            <w:r w:rsidRPr="004C4E93">
              <w:rPr>
                <w:b/>
              </w:rPr>
              <w:t>Performance and Achievement Type</w:t>
            </w:r>
          </w:p>
        </w:tc>
        <w:tc>
          <w:tcPr>
            <w:tcW w:w="6973" w:type="dxa"/>
          </w:tcPr>
          <w:p w:rsidR="005247C2" w:rsidRPr="004C4E93" w:rsidRDefault="005247C2" w:rsidP="004F0E51">
            <w:pPr>
              <w:pStyle w:val="NoSpacing"/>
            </w:pPr>
            <w:r w:rsidRPr="004C4E93">
              <w:t>Pay for Performance (P4P) – Improvement Over Self (IOS)</w:t>
            </w:r>
          </w:p>
          <w:p w:rsidR="005247C2" w:rsidRPr="004C4E93" w:rsidRDefault="005247C2" w:rsidP="004F0E51">
            <w:pPr>
              <w:pStyle w:val="NoSpacing"/>
            </w:pPr>
          </w:p>
          <w:p w:rsidR="005247C2" w:rsidRPr="004C4E93" w:rsidRDefault="005247C2" w:rsidP="004F0E51">
            <w:pPr>
              <w:pStyle w:val="NoSpacing"/>
              <w:rPr>
                <w:rFonts w:cstheme="minorHAnsi"/>
              </w:rPr>
            </w:pPr>
            <w:r w:rsidRPr="004C4E93">
              <w:rPr>
                <w:rFonts w:cstheme="minorHAnsi"/>
              </w:rPr>
              <w:t>Providers will determine their baseline and DY4 and DY5 achievement levels using one of the following three scenarios. Providers will report which scenario has been selected as part of their survey administration description required as supporting documentation for baseline reporting.  Providers may not switch between scenarios in subsequent measurement years.</w:t>
            </w:r>
          </w:p>
          <w:p w:rsidR="005247C2" w:rsidRPr="004C4E93" w:rsidRDefault="005247C2" w:rsidP="004F0E51">
            <w:pPr>
              <w:pStyle w:val="NoSpacing"/>
              <w:rPr>
                <w:rFonts w:cstheme="minorHAnsi"/>
              </w:rPr>
            </w:pPr>
          </w:p>
          <w:p w:rsidR="005247C2" w:rsidRPr="004C4E93" w:rsidRDefault="005247C2" w:rsidP="004F0E51">
            <w:pPr>
              <w:pStyle w:val="NoSpacing"/>
              <w:rPr>
                <w:rFonts w:cstheme="minorHAnsi"/>
              </w:rPr>
            </w:pPr>
            <w:r w:rsidRPr="004C4E93">
              <w:rPr>
                <w:rFonts w:cstheme="minorHAnsi"/>
              </w:rPr>
              <w:t>Scenario 1: Baseline includes pre and posttest scores</w:t>
            </w:r>
          </w:p>
          <w:p w:rsidR="005247C2" w:rsidRPr="004C4E93" w:rsidRDefault="005247C2" w:rsidP="005247C2">
            <w:pPr>
              <w:pStyle w:val="ListParagraph"/>
              <w:numPr>
                <w:ilvl w:val="0"/>
                <w:numId w:val="16"/>
              </w:numPr>
              <w:spacing w:line="240" w:lineRule="auto"/>
              <w:rPr>
                <w:rFonts w:cs="Arial"/>
              </w:rPr>
            </w:pPr>
            <w:r w:rsidRPr="004C4E93">
              <w:rPr>
                <w:rFonts w:cs="Arial"/>
              </w:rPr>
              <w:t xml:space="preserve">In DY3, providers will report the average pretest score of all individuals who </w:t>
            </w:r>
            <w:r>
              <w:rPr>
                <w:rFonts w:cs="Arial"/>
              </w:rPr>
              <w:t>complete</w:t>
            </w:r>
            <w:r w:rsidRPr="004C4E93">
              <w:rPr>
                <w:rFonts w:cs="Arial"/>
              </w:rPr>
              <w:t xml:space="preserve"> at least two surveys (pretest and posttest) since the beginning of DY1, with the most recent posttest survey completed during the baseline measurement period, AND the average most recent score of all individuals who completed at least two surveys (pretest and posttest) with the most recent posttest survey completed during baseline measurement period. In DY4 and DY5, providers will report the average most recent posttest score of individuals who completed at least two surveys </w:t>
            </w:r>
            <w:r w:rsidRPr="004C4E93">
              <w:rPr>
                <w:rFonts w:cs="Arial"/>
              </w:rPr>
              <w:lastRenderedPageBreak/>
              <w:t xml:space="preserve">(pretest and posttest) since the beginning of the baseline measurement period and whose most recent survey was completed during the measurement year. </w:t>
            </w:r>
            <w:r w:rsidRPr="004C4E93">
              <w:rPr>
                <w:rFonts w:cstheme="minorHAnsi"/>
              </w:rPr>
              <w:t xml:space="preserve">DY4 and DY5 achievement levels are 5% and 10% improvement over the difference between DY3 average most recent score and DY3 average pretest score. </w:t>
            </w:r>
          </w:p>
          <w:p w:rsidR="005247C2" w:rsidRPr="004C4E93" w:rsidRDefault="005247C2" w:rsidP="004F0E51">
            <w:pPr>
              <w:pStyle w:val="NoSpacing"/>
              <w:rPr>
                <w:rFonts w:cstheme="minorHAnsi"/>
              </w:rPr>
            </w:pPr>
          </w:p>
          <w:p w:rsidR="005247C2" w:rsidRPr="004C4E93" w:rsidRDefault="005247C2" w:rsidP="004F0E51">
            <w:pPr>
              <w:pStyle w:val="NoSpacing"/>
              <w:rPr>
                <w:rFonts w:cstheme="minorHAnsi"/>
              </w:rPr>
            </w:pPr>
            <w:r w:rsidRPr="004C4E93">
              <w:rPr>
                <w:rFonts w:cstheme="minorHAnsi"/>
              </w:rPr>
              <w:t>Scenario 2: Baseline includes pretest scores only</w:t>
            </w:r>
          </w:p>
          <w:p w:rsidR="005247C2" w:rsidRPr="004C4E93" w:rsidRDefault="005247C2" w:rsidP="005247C2">
            <w:pPr>
              <w:pStyle w:val="NoSpacing"/>
              <w:numPr>
                <w:ilvl w:val="0"/>
                <w:numId w:val="16"/>
              </w:numPr>
              <w:rPr>
                <w:rFonts w:cstheme="minorHAnsi"/>
              </w:rPr>
            </w:pPr>
            <w:r w:rsidRPr="004C4E93">
              <w:rPr>
                <w:rFonts w:cstheme="minorHAnsi"/>
              </w:rPr>
              <w:t xml:space="preserve">In DY3, provider will report the average pretest score for all pretests completed during the measurement year. In DY4 and DY5, provider will report the average most recent posttest score of individuals who completed at least two surveys (pretest and posttest) since the beginning of baseline reporting, with the most recent posttest survey completed during the measurement year. DY4 and DY5 achievement levels are an improvement over the DY3 average pretest score equal to 5% and 10% of the full possible range of survey scores. </w:t>
            </w:r>
          </w:p>
          <w:p w:rsidR="005247C2" w:rsidRPr="004C4E93" w:rsidRDefault="005247C2" w:rsidP="004F0E51">
            <w:pPr>
              <w:pStyle w:val="NoSpacing"/>
              <w:ind w:left="720"/>
              <w:rPr>
                <w:rFonts w:cstheme="minorHAnsi"/>
              </w:rPr>
            </w:pPr>
          </w:p>
          <w:p w:rsidR="005247C2" w:rsidRPr="004C4E93" w:rsidRDefault="005247C2" w:rsidP="004F0E51">
            <w:pPr>
              <w:pStyle w:val="NoSpacing"/>
              <w:rPr>
                <w:rFonts w:cstheme="minorHAnsi"/>
              </w:rPr>
            </w:pPr>
            <w:r w:rsidRPr="004C4E93">
              <w:rPr>
                <w:rFonts w:cstheme="minorHAnsi"/>
              </w:rPr>
              <w:t>Scenario 3: No pre/post testing methodology</w:t>
            </w:r>
          </w:p>
          <w:p w:rsidR="005247C2" w:rsidRPr="004C4E93" w:rsidRDefault="005247C2" w:rsidP="005247C2">
            <w:pPr>
              <w:pStyle w:val="NoSpacing"/>
              <w:numPr>
                <w:ilvl w:val="0"/>
                <w:numId w:val="16"/>
              </w:numPr>
              <w:rPr>
                <w:rFonts w:cstheme="minorHAnsi"/>
              </w:rPr>
            </w:pPr>
            <w:r w:rsidRPr="004C4E93">
              <w:rPr>
                <w:rFonts w:cstheme="minorHAnsi"/>
              </w:rPr>
              <w:t xml:space="preserve">In DY3-5, provider will report the average score of all surveys completed during the measurement year. DY4 and DY5 achievement levels are an improvement over the DY3 average equal to 5% and 10% of the full possible range of survey scores. </w:t>
            </w:r>
          </w:p>
          <w:p w:rsidR="005247C2" w:rsidRPr="004C4E93" w:rsidRDefault="005247C2" w:rsidP="004F0E51">
            <w:pPr>
              <w:pStyle w:val="NoSpacing"/>
              <w:rPr>
                <w:rFonts w:cstheme="minorHAnsi"/>
              </w:rPr>
            </w:pPr>
          </w:p>
          <w:p w:rsidR="005247C2" w:rsidRPr="004C4E93" w:rsidRDefault="005247C2" w:rsidP="004F0E51">
            <w:pPr>
              <w:pStyle w:val="NoSpacing"/>
            </w:pPr>
          </w:p>
          <w:tbl>
            <w:tblPr>
              <w:tblStyle w:val="TableGrid"/>
              <w:tblW w:w="6722" w:type="dxa"/>
              <w:tblLook w:val="04A0" w:firstRow="1" w:lastRow="0" w:firstColumn="1" w:lastColumn="0" w:noHBand="0" w:noVBand="1"/>
            </w:tblPr>
            <w:tblGrid>
              <w:gridCol w:w="1809"/>
              <w:gridCol w:w="1498"/>
              <w:gridCol w:w="1612"/>
              <w:gridCol w:w="1803"/>
            </w:tblGrid>
            <w:tr w:rsidR="005247C2" w:rsidRPr="004C4E93" w:rsidTr="004F0E51">
              <w:tc>
                <w:tcPr>
                  <w:tcW w:w="1809" w:type="dxa"/>
                </w:tcPr>
                <w:p w:rsidR="005247C2" w:rsidRPr="004C4E93" w:rsidRDefault="005247C2" w:rsidP="004F0E51">
                  <w:pPr>
                    <w:pStyle w:val="NoSpacing"/>
                  </w:pPr>
                </w:p>
              </w:tc>
              <w:tc>
                <w:tcPr>
                  <w:tcW w:w="1498" w:type="dxa"/>
                </w:tcPr>
                <w:p w:rsidR="005247C2" w:rsidRPr="004C4E93" w:rsidRDefault="005247C2" w:rsidP="004F0E51">
                  <w:pPr>
                    <w:pStyle w:val="NoSpacing"/>
                    <w:jc w:val="center"/>
                  </w:pPr>
                  <w:r w:rsidRPr="004C4E93">
                    <w:t>DY3 Baseline</w:t>
                  </w:r>
                </w:p>
              </w:tc>
              <w:tc>
                <w:tcPr>
                  <w:tcW w:w="1612" w:type="dxa"/>
                </w:tcPr>
                <w:p w:rsidR="005247C2" w:rsidRPr="004C4E93" w:rsidRDefault="005247C2" w:rsidP="004F0E51">
                  <w:pPr>
                    <w:pStyle w:val="NoSpacing"/>
                    <w:jc w:val="center"/>
                  </w:pPr>
                  <w:r w:rsidRPr="004C4E93">
                    <w:t>DY4</w:t>
                  </w:r>
                </w:p>
                <w:p w:rsidR="005247C2" w:rsidRPr="004C4E93" w:rsidRDefault="005247C2" w:rsidP="004F0E51">
                  <w:pPr>
                    <w:pStyle w:val="NoSpacing"/>
                    <w:jc w:val="center"/>
                  </w:pPr>
                  <w:r w:rsidRPr="004C4E93">
                    <w:t>Achievement Level Calculation</w:t>
                  </w:r>
                </w:p>
              </w:tc>
              <w:tc>
                <w:tcPr>
                  <w:tcW w:w="1803" w:type="dxa"/>
                </w:tcPr>
                <w:p w:rsidR="005247C2" w:rsidRPr="004C4E93" w:rsidRDefault="005247C2" w:rsidP="004F0E51">
                  <w:pPr>
                    <w:pStyle w:val="NoSpacing"/>
                    <w:jc w:val="center"/>
                  </w:pPr>
                  <w:r w:rsidRPr="004C4E93">
                    <w:t>DY5</w:t>
                  </w:r>
                </w:p>
                <w:p w:rsidR="005247C2" w:rsidRPr="004C4E93" w:rsidRDefault="005247C2" w:rsidP="004F0E51">
                  <w:pPr>
                    <w:pStyle w:val="NoSpacing"/>
                    <w:jc w:val="center"/>
                  </w:pPr>
                  <w:r w:rsidRPr="004C4E93">
                    <w:t>Achievement Level Calculation</w:t>
                  </w:r>
                </w:p>
              </w:tc>
            </w:tr>
            <w:tr w:rsidR="005247C2" w:rsidRPr="004C4E93" w:rsidTr="004F0E51">
              <w:tc>
                <w:tcPr>
                  <w:tcW w:w="1809" w:type="dxa"/>
                </w:tcPr>
                <w:p w:rsidR="005247C2" w:rsidRPr="004C4E93" w:rsidRDefault="005247C2" w:rsidP="004F0E51">
                  <w:pPr>
                    <w:pStyle w:val="NoSpacing"/>
                    <w:jc w:val="center"/>
                  </w:pPr>
                  <w:r w:rsidRPr="004C4E93">
                    <w:t xml:space="preserve">Scenario 1: </w:t>
                  </w:r>
                </w:p>
                <w:p w:rsidR="005247C2" w:rsidRPr="004C4E93" w:rsidRDefault="005247C2" w:rsidP="004F0E51">
                  <w:pPr>
                    <w:pStyle w:val="NoSpacing"/>
                    <w:jc w:val="center"/>
                  </w:pPr>
                  <w:r w:rsidRPr="004C4E93">
                    <w:rPr>
                      <w:rFonts w:cstheme="minorHAnsi"/>
                    </w:rPr>
                    <w:t>Baseline includes pre and posttest scores</w:t>
                  </w:r>
                </w:p>
              </w:tc>
              <w:tc>
                <w:tcPr>
                  <w:tcW w:w="1498" w:type="dxa"/>
                </w:tcPr>
                <w:p w:rsidR="005247C2" w:rsidRPr="00905A29" w:rsidRDefault="005247C2" w:rsidP="004F0E51">
                  <w:pPr>
                    <w:spacing w:after="200"/>
                    <w:jc w:val="center"/>
                    <w:rPr>
                      <w:rFonts w:cs="Arial"/>
                    </w:rPr>
                  </w:pPr>
                  <w:r w:rsidRPr="00905A29">
                    <w:rPr>
                      <w:rFonts w:cs="Arial"/>
                    </w:rPr>
                    <w:t>DY3 average most recent score &amp; DY3 average pretest score</w:t>
                  </w:r>
                </w:p>
              </w:tc>
              <w:tc>
                <w:tcPr>
                  <w:tcW w:w="1612" w:type="dxa"/>
                </w:tcPr>
                <w:p w:rsidR="005247C2" w:rsidRPr="00905A29" w:rsidRDefault="005247C2" w:rsidP="004F0E51">
                  <w:pPr>
                    <w:spacing w:after="200"/>
                    <w:jc w:val="center"/>
                    <w:rPr>
                      <w:rFonts w:cs="Arial"/>
                    </w:rPr>
                  </w:pPr>
                  <w:r w:rsidRPr="00905A29">
                    <w:rPr>
                      <w:rFonts w:cs="Arial"/>
                    </w:rPr>
                    <w:t>DY3 average pretest score + 1.05*(DY3 average most recent score - DY3 average pretest score)</w:t>
                  </w:r>
                </w:p>
                <w:p w:rsidR="005247C2" w:rsidRPr="00905A29" w:rsidRDefault="005247C2" w:rsidP="004F0E51">
                  <w:pPr>
                    <w:spacing w:after="200"/>
                    <w:jc w:val="center"/>
                    <w:rPr>
                      <w:rFonts w:cs="Arial"/>
                    </w:rPr>
                  </w:pPr>
                  <w:r w:rsidRPr="00905A29">
                    <w:rPr>
                      <w:rFonts w:cs="Arial"/>
                    </w:rPr>
                    <w:t>score)</w:t>
                  </w:r>
                </w:p>
              </w:tc>
              <w:tc>
                <w:tcPr>
                  <w:tcW w:w="1803" w:type="dxa"/>
                </w:tcPr>
                <w:p w:rsidR="005247C2" w:rsidRPr="00905A29" w:rsidRDefault="005247C2" w:rsidP="004F0E51">
                  <w:pPr>
                    <w:spacing w:after="200"/>
                    <w:jc w:val="center"/>
                    <w:rPr>
                      <w:rFonts w:cs="Arial"/>
                    </w:rPr>
                  </w:pPr>
                  <w:r w:rsidRPr="00905A29">
                    <w:rPr>
                      <w:rFonts w:cs="Arial"/>
                    </w:rPr>
                    <w:t>DY3 average pretest score + 1.10*(DY3 average most recent score - DY3 average pretest score)</w:t>
                  </w:r>
                </w:p>
                <w:p w:rsidR="005247C2" w:rsidRPr="00131C39" w:rsidRDefault="005247C2" w:rsidP="00905A29">
                  <w:pPr>
                    <w:jc w:val="center"/>
                  </w:pPr>
                </w:p>
              </w:tc>
            </w:tr>
            <w:tr w:rsidR="005247C2" w:rsidRPr="004C4E93" w:rsidTr="004F0E51">
              <w:tc>
                <w:tcPr>
                  <w:tcW w:w="1809" w:type="dxa"/>
                </w:tcPr>
                <w:p w:rsidR="005247C2" w:rsidRPr="004C4E93" w:rsidRDefault="005247C2" w:rsidP="004F0E51">
                  <w:pPr>
                    <w:pStyle w:val="NoSpacing"/>
                    <w:jc w:val="center"/>
                    <w:rPr>
                      <w:rFonts w:cstheme="minorHAnsi"/>
                    </w:rPr>
                  </w:pPr>
                  <w:r w:rsidRPr="004C4E93">
                    <w:t xml:space="preserve">Scenario 2: </w:t>
                  </w:r>
                </w:p>
                <w:p w:rsidR="005247C2" w:rsidRPr="004C4E93" w:rsidRDefault="005247C2" w:rsidP="004F0E51">
                  <w:pPr>
                    <w:pStyle w:val="NoSpacing"/>
                    <w:jc w:val="center"/>
                  </w:pPr>
                  <w:r w:rsidRPr="004C4E93">
                    <w:rPr>
                      <w:rFonts w:cstheme="minorHAnsi"/>
                    </w:rPr>
                    <w:t>Baseline includes pretest scores only</w:t>
                  </w:r>
                </w:p>
              </w:tc>
              <w:tc>
                <w:tcPr>
                  <w:tcW w:w="1498" w:type="dxa"/>
                </w:tcPr>
                <w:p w:rsidR="005247C2" w:rsidRPr="004C4E93" w:rsidRDefault="005247C2" w:rsidP="004F0E51">
                  <w:pPr>
                    <w:pStyle w:val="NoSpacing"/>
                    <w:jc w:val="center"/>
                  </w:pPr>
                  <w:r w:rsidRPr="004C4E93">
                    <w:t>DY3 average pretest score</w:t>
                  </w:r>
                </w:p>
              </w:tc>
              <w:tc>
                <w:tcPr>
                  <w:tcW w:w="1612" w:type="dxa"/>
                </w:tcPr>
                <w:p w:rsidR="005247C2" w:rsidRPr="004C4E93" w:rsidRDefault="005247C2" w:rsidP="004F0E51">
                  <w:pPr>
                    <w:pStyle w:val="NoSpacing"/>
                    <w:jc w:val="center"/>
                  </w:pPr>
                  <w:r w:rsidRPr="004C4E93">
                    <w:t>DY3 average pretest score + .05*(max score – min score)</w:t>
                  </w:r>
                </w:p>
                <w:p w:rsidR="005247C2" w:rsidRPr="004C4E93" w:rsidRDefault="005247C2" w:rsidP="004F0E51">
                  <w:pPr>
                    <w:pStyle w:val="NoSpacing"/>
                    <w:jc w:val="center"/>
                  </w:pPr>
                </w:p>
              </w:tc>
              <w:tc>
                <w:tcPr>
                  <w:tcW w:w="1803" w:type="dxa"/>
                </w:tcPr>
                <w:p w:rsidR="005247C2" w:rsidRPr="004C4E93" w:rsidRDefault="005247C2" w:rsidP="004F0E51">
                  <w:pPr>
                    <w:pStyle w:val="NoSpacing"/>
                    <w:jc w:val="center"/>
                  </w:pPr>
                  <w:r w:rsidRPr="004C4E93">
                    <w:t>DY3 average pretest score + .10*</w:t>
                  </w:r>
                  <w:r w:rsidR="00131C39" w:rsidRPr="004C4E93">
                    <w:t>(max score-min score)</w:t>
                  </w:r>
                </w:p>
                <w:p w:rsidR="005247C2" w:rsidRPr="004C4E93" w:rsidRDefault="005247C2" w:rsidP="004F0E51">
                  <w:pPr>
                    <w:pStyle w:val="NoSpacing"/>
                  </w:pPr>
                </w:p>
              </w:tc>
            </w:tr>
            <w:tr w:rsidR="005247C2" w:rsidRPr="004C4E93" w:rsidTr="004F0E51">
              <w:tc>
                <w:tcPr>
                  <w:tcW w:w="1809" w:type="dxa"/>
                </w:tcPr>
                <w:p w:rsidR="005247C2" w:rsidRPr="004C4E93" w:rsidRDefault="005247C2" w:rsidP="004F0E51">
                  <w:pPr>
                    <w:pStyle w:val="NoSpacing"/>
                    <w:jc w:val="center"/>
                  </w:pPr>
                  <w:r w:rsidRPr="004C4E93">
                    <w:t>Scenario 3:</w:t>
                  </w:r>
                </w:p>
                <w:p w:rsidR="005247C2" w:rsidRPr="004C4E93" w:rsidRDefault="005247C2" w:rsidP="004F0E51">
                  <w:pPr>
                    <w:pStyle w:val="NoSpacing"/>
                    <w:jc w:val="center"/>
                  </w:pPr>
                  <w:r w:rsidRPr="004C4E93">
                    <w:rPr>
                      <w:rFonts w:cstheme="minorHAnsi"/>
                    </w:rPr>
                    <w:lastRenderedPageBreak/>
                    <w:t>No pre/post testing methodology</w:t>
                  </w:r>
                </w:p>
              </w:tc>
              <w:tc>
                <w:tcPr>
                  <w:tcW w:w="1498" w:type="dxa"/>
                </w:tcPr>
                <w:p w:rsidR="005247C2" w:rsidRPr="004C4E93" w:rsidRDefault="005247C2" w:rsidP="004F0E51">
                  <w:pPr>
                    <w:pStyle w:val="NoSpacing"/>
                    <w:jc w:val="center"/>
                  </w:pPr>
                  <w:r w:rsidRPr="004C4E93">
                    <w:lastRenderedPageBreak/>
                    <w:t xml:space="preserve">DY3 average </w:t>
                  </w:r>
                  <w:r w:rsidRPr="004C4E93">
                    <w:lastRenderedPageBreak/>
                    <w:t>score</w:t>
                  </w:r>
                </w:p>
              </w:tc>
              <w:tc>
                <w:tcPr>
                  <w:tcW w:w="1612" w:type="dxa"/>
                </w:tcPr>
                <w:p w:rsidR="005247C2" w:rsidRPr="004C4E93" w:rsidRDefault="005247C2" w:rsidP="004F0E51">
                  <w:pPr>
                    <w:pStyle w:val="NoSpacing"/>
                    <w:jc w:val="center"/>
                  </w:pPr>
                  <w:r w:rsidRPr="004C4E93">
                    <w:lastRenderedPageBreak/>
                    <w:t xml:space="preserve">DY3 average </w:t>
                  </w:r>
                  <w:r w:rsidRPr="004C4E93">
                    <w:lastRenderedPageBreak/>
                    <w:t>score + .05* (max score-min score)</w:t>
                  </w:r>
                </w:p>
                <w:p w:rsidR="005247C2" w:rsidRPr="004C4E93" w:rsidRDefault="005247C2" w:rsidP="004F0E51">
                  <w:pPr>
                    <w:pStyle w:val="NoSpacing"/>
                    <w:jc w:val="center"/>
                  </w:pPr>
                </w:p>
              </w:tc>
              <w:tc>
                <w:tcPr>
                  <w:tcW w:w="1803" w:type="dxa"/>
                </w:tcPr>
                <w:p w:rsidR="005247C2" w:rsidRPr="004C4E93" w:rsidRDefault="005247C2" w:rsidP="004F0E51">
                  <w:pPr>
                    <w:pStyle w:val="NoSpacing"/>
                    <w:jc w:val="center"/>
                  </w:pPr>
                  <w:r w:rsidRPr="004C4E93">
                    <w:lastRenderedPageBreak/>
                    <w:t xml:space="preserve">DY3 average </w:t>
                  </w:r>
                  <w:r w:rsidRPr="004C4E93">
                    <w:lastRenderedPageBreak/>
                    <w:t>score + .10*(max score-min score)</w:t>
                  </w:r>
                </w:p>
                <w:p w:rsidR="005247C2" w:rsidRPr="004C4E93" w:rsidRDefault="005247C2" w:rsidP="00131C39">
                  <w:pPr>
                    <w:pStyle w:val="NoSpacing"/>
                    <w:jc w:val="center"/>
                  </w:pPr>
                </w:p>
              </w:tc>
            </w:tr>
          </w:tbl>
          <w:p w:rsidR="005247C2" w:rsidRPr="004C4E93" w:rsidRDefault="005247C2" w:rsidP="004F0E51">
            <w:pPr>
              <w:pStyle w:val="NoSpacing"/>
            </w:pPr>
          </w:p>
          <w:p w:rsidR="005247C2" w:rsidRDefault="005247C2" w:rsidP="004F7605">
            <w:pPr>
              <w:pStyle w:val="NoSpacing"/>
            </w:pPr>
            <w:r w:rsidRPr="004C4E93">
              <w:t>For guidance on reporting selected scenarios</w:t>
            </w:r>
            <w:r>
              <w:t xml:space="preserve"> and determining DY4 and DY5 achievement levels</w:t>
            </w:r>
            <w:r w:rsidRPr="004C4E93">
              <w:t xml:space="preserve">, providers should follow the instructions contained in the “Reporting </w:t>
            </w:r>
            <w:r>
              <w:t>Guidelines for Pre and Postt</w:t>
            </w:r>
            <w:r w:rsidRPr="004C4E93">
              <w:t xml:space="preserve">est Tools” </w:t>
            </w:r>
            <w:r>
              <w:t xml:space="preserve">document located </w:t>
            </w:r>
            <w:r w:rsidRPr="008815CC">
              <w:t xml:space="preserve">on the </w:t>
            </w:r>
            <w:hyperlink r:id="rId12" w:history="1">
              <w:r w:rsidRPr="008815CC">
                <w:rPr>
                  <w:rStyle w:val="Hyperlink"/>
                </w:rPr>
                <w:t>Tools and Guidelines for Regional Healthcare Partnership Participants</w:t>
              </w:r>
            </w:hyperlink>
            <w:r w:rsidRPr="008815CC">
              <w:t xml:space="preserve"> page under Category 3.</w:t>
            </w:r>
            <w:bookmarkStart w:id="0" w:name="_GoBack"/>
            <w:bookmarkEnd w:id="0"/>
          </w:p>
        </w:tc>
      </w:tr>
      <w:tr w:rsidR="00DD1C68" w:rsidRPr="00DD1C68" w:rsidTr="005247C2">
        <w:tc>
          <w:tcPr>
            <w:tcW w:w="2603" w:type="dxa"/>
          </w:tcPr>
          <w:p w:rsidR="00DD1C68" w:rsidRPr="00DD1C68" w:rsidRDefault="00DD1C68" w:rsidP="0027019B">
            <w:pPr>
              <w:pStyle w:val="NoSpacing"/>
              <w:rPr>
                <w:rFonts w:cstheme="minorHAnsi"/>
                <w:b/>
              </w:rPr>
            </w:pPr>
            <w:r w:rsidRPr="00DD1C68">
              <w:rPr>
                <w:rFonts w:cstheme="minorHAnsi"/>
                <w:b/>
              </w:rPr>
              <w:lastRenderedPageBreak/>
              <w:t>Administration</w:t>
            </w:r>
            <w:r w:rsidR="0027019B">
              <w:rPr>
                <w:rFonts w:cstheme="minorHAnsi"/>
                <w:b/>
              </w:rPr>
              <w:t>:</w:t>
            </w:r>
          </w:p>
        </w:tc>
        <w:tc>
          <w:tcPr>
            <w:tcW w:w="6973" w:type="dxa"/>
          </w:tcPr>
          <w:p w:rsidR="00F90B8F" w:rsidRPr="00F90B8F" w:rsidRDefault="00BB5D37" w:rsidP="00F90B8F">
            <w:pPr>
              <w:pStyle w:val="NoSpacing"/>
              <w:rPr>
                <w:rFonts w:cstheme="minorHAnsi"/>
              </w:rPr>
            </w:pPr>
            <w:r>
              <w:rPr>
                <w:rFonts w:cstheme="minorHAnsi"/>
                <w:b/>
              </w:rPr>
              <w:t>Mode</w:t>
            </w:r>
            <w:r w:rsidR="00DD1C68" w:rsidRPr="00DD1C68">
              <w:rPr>
                <w:rFonts w:cstheme="minorHAnsi"/>
                <w:b/>
              </w:rPr>
              <w:t>:</w:t>
            </w:r>
            <w:r w:rsidR="00200395">
              <w:rPr>
                <w:rFonts w:cstheme="minorHAnsi"/>
                <w:b/>
              </w:rPr>
              <w:t xml:space="preserve"> </w:t>
            </w:r>
            <w:r w:rsidR="00695CD1">
              <w:rPr>
                <w:rFonts w:cstheme="minorHAnsi"/>
              </w:rPr>
              <w:t xml:space="preserve">Available as both </w:t>
            </w:r>
            <w:r w:rsidR="00200395">
              <w:rPr>
                <w:rFonts w:cstheme="minorHAnsi"/>
              </w:rPr>
              <w:t>Child Self Report (age 8-12</w:t>
            </w:r>
            <w:r w:rsidR="00695CD1">
              <w:rPr>
                <w:rFonts w:cstheme="minorHAnsi"/>
              </w:rPr>
              <w:t>) and</w:t>
            </w:r>
            <w:r w:rsidR="00200395">
              <w:rPr>
                <w:rFonts w:cstheme="minorHAnsi"/>
              </w:rPr>
              <w:t xml:space="preserve"> Parent Proxy Report (age 8-12)</w:t>
            </w:r>
            <w:r w:rsidR="00F90B8F" w:rsidRPr="00F90B8F">
              <w:rPr>
                <w:rFonts w:ascii="Times New Roman" w:eastAsia="Times New Roman" w:hAnsi="Times New Roman" w:cs="Times New Roman"/>
                <w:sz w:val="24"/>
                <w:szCs w:val="20"/>
              </w:rPr>
              <w:t xml:space="preserve"> </w:t>
            </w:r>
          </w:p>
          <w:p w:rsidR="00F90B8F" w:rsidRDefault="00F90B8F" w:rsidP="00F90B8F">
            <w:pPr>
              <w:pStyle w:val="NoSpacing"/>
              <w:ind w:left="360"/>
              <w:rPr>
                <w:rFonts w:cstheme="minorHAnsi"/>
                <w:b/>
              </w:rPr>
            </w:pPr>
          </w:p>
          <w:p w:rsidR="00F90B8F" w:rsidRDefault="00F90B8F" w:rsidP="00F90B8F">
            <w:pPr>
              <w:pStyle w:val="NoSpacing"/>
              <w:rPr>
                <w:rFonts w:cstheme="minorHAnsi"/>
              </w:rPr>
            </w:pPr>
            <w:r w:rsidRPr="00F90B8F">
              <w:rPr>
                <w:rFonts w:cstheme="minorHAnsi"/>
              </w:rPr>
              <w:t>Parents, Children (8-12) and Teens (13-18) may self-administer the PedsQL™ after introductory instructions from the administrator.  If the administrator determines that the child or teen is unable to self-administer the PedsQL</w:t>
            </w:r>
            <w:r w:rsidRPr="00F90B8F">
              <w:rPr>
                <w:rFonts w:cstheme="minorHAnsi"/>
              </w:rPr>
              <w:sym w:font="Symbol" w:char="F0D4"/>
            </w:r>
            <w:r w:rsidRPr="00F90B8F">
              <w:rPr>
                <w:rFonts w:cstheme="minorHAnsi"/>
              </w:rPr>
              <w:t xml:space="preserve"> (e.g., due to illness, fatigue, reading difficulties), the PedsQL</w:t>
            </w:r>
            <w:r w:rsidRPr="00F90B8F">
              <w:rPr>
                <w:rFonts w:cstheme="minorHAnsi"/>
              </w:rPr>
              <w:sym w:font="Symbol" w:char="F0D4"/>
            </w:r>
            <w:r w:rsidRPr="00F90B8F">
              <w:rPr>
                <w:rFonts w:cstheme="minorHAnsi"/>
              </w:rPr>
              <w:t xml:space="preserve"> should be read aloud to the child or teen.  For the Young Child (5-7), the PedsQL™ should be administered by reading the instructions and each item to the young child word for word.  </w:t>
            </w:r>
          </w:p>
          <w:p w:rsidR="00F90B8F" w:rsidRDefault="00F90B8F" w:rsidP="00F90B8F">
            <w:pPr>
              <w:pStyle w:val="NoSpacing"/>
              <w:rPr>
                <w:rFonts w:cstheme="minorHAnsi"/>
              </w:rPr>
            </w:pPr>
          </w:p>
          <w:p w:rsidR="00F90B8F" w:rsidRPr="00F90B8F" w:rsidRDefault="00F90B8F" w:rsidP="00F90B8F">
            <w:pPr>
              <w:pStyle w:val="NoSpacing"/>
              <w:rPr>
                <w:rFonts w:cstheme="minorHAnsi"/>
              </w:rPr>
            </w:pPr>
            <w:r w:rsidRPr="00F90B8F">
              <w:rPr>
                <w:rFonts w:cstheme="minorHAnsi"/>
              </w:rPr>
              <w:t>At the beginning of each subscale repeat the recall interval instructions (one month or 7 days) to remind the young child to respond only for that specific recall interval.  Use the separate page with the three faces response choices to help the young child understand how to answer.  When reading items aloud to a child, intonation should be kept neutral to avoid suggesting an answer.</w:t>
            </w:r>
          </w:p>
          <w:p w:rsidR="00F90B8F" w:rsidRDefault="00F90B8F" w:rsidP="00F90B8F">
            <w:pPr>
              <w:pStyle w:val="NoSpacing"/>
              <w:rPr>
                <w:rFonts w:cstheme="minorHAnsi"/>
              </w:rPr>
            </w:pPr>
          </w:p>
          <w:p w:rsidR="00F90B8F" w:rsidRPr="00F90B8F" w:rsidRDefault="00F90B8F" w:rsidP="00F90B8F">
            <w:pPr>
              <w:pStyle w:val="NoSpacing"/>
              <w:rPr>
                <w:rFonts w:cstheme="minorHAnsi"/>
              </w:rPr>
            </w:pPr>
            <w:r w:rsidRPr="00F90B8F">
              <w:rPr>
                <w:rFonts w:cstheme="minorHAnsi"/>
              </w:rPr>
              <w:t>If a child has difficulty understanding the age-appropriate PedsQL</w:t>
            </w:r>
            <w:r w:rsidRPr="00F90B8F">
              <w:rPr>
                <w:rFonts w:cstheme="minorHAnsi"/>
              </w:rPr>
              <w:sym w:font="Symbol" w:char="F0D4"/>
            </w:r>
            <w:r w:rsidRPr="00F90B8F">
              <w:rPr>
                <w:rFonts w:cstheme="minorHAnsi"/>
              </w:rPr>
              <w:t>, the preceding age group version may be administered to the child (e.g., administering the Young Child (5-7) Self-Report version with the three faces response choices to an 8 year old).  However, if a child presents with severe cognitive impairments (as determined by the administrator), the PedsQL</w:t>
            </w:r>
            <w:r w:rsidRPr="00F90B8F">
              <w:rPr>
                <w:rFonts w:cstheme="minorHAnsi"/>
              </w:rPr>
              <w:sym w:font="Symbol" w:char="F0D4"/>
            </w:r>
            <w:r w:rsidRPr="00F90B8F">
              <w:rPr>
                <w:rFonts w:cstheme="minorHAnsi"/>
              </w:rPr>
              <w:t xml:space="preserve"> may not be appropriate for that child.  In such cases, only the Parent-Proxy Report should be administered to the child’s parent.</w:t>
            </w:r>
          </w:p>
          <w:p w:rsidR="00DD1C68" w:rsidRPr="00200395" w:rsidRDefault="00DD1C68" w:rsidP="00953EC0">
            <w:pPr>
              <w:pStyle w:val="NoSpacing"/>
              <w:rPr>
                <w:rFonts w:cstheme="minorHAnsi"/>
              </w:rPr>
            </w:pPr>
          </w:p>
          <w:p w:rsidR="00DD1C68" w:rsidRDefault="00DD1C68" w:rsidP="00953EC0">
            <w:pPr>
              <w:pStyle w:val="NoSpacing"/>
              <w:rPr>
                <w:rFonts w:cstheme="minorHAnsi"/>
              </w:rPr>
            </w:pPr>
            <w:r w:rsidRPr="00DD1C68">
              <w:rPr>
                <w:rFonts w:cstheme="minorHAnsi"/>
                <w:b/>
              </w:rPr>
              <w:t>Time:</w:t>
            </w:r>
            <w:r w:rsidR="005D7BC7">
              <w:rPr>
                <w:rFonts w:cstheme="minorHAnsi"/>
                <w:b/>
              </w:rPr>
              <w:t xml:space="preserve"> </w:t>
            </w:r>
            <w:r w:rsidR="005D7BC7" w:rsidRPr="00200395">
              <w:rPr>
                <w:rFonts w:cstheme="minorHAnsi"/>
              </w:rPr>
              <w:t>&lt; 4 minutes</w:t>
            </w:r>
          </w:p>
          <w:p w:rsidR="00F90B8F" w:rsidRPr="00DD1C68" w:rsidRDefault="00F90B8F" w:rsidP="00953EC0">
            <w:pPr>
              <w:pStyle w:val="NoSpacing"/>
              <w:rPr>
                <w:rFonts w:cstheme="minorHAnsi"/>
                <w:b/>
              </w:rPr>
            </w:pPr>
          </w:p>
          <w:p w:rsidR="00DD1C68" w:rsidRDefault="00DD1C68" w:rsidP="00953EC0">
            <w:pPr>
              <w:pStyle w:val="NoSpacing"/>
              <w:rPr>
                <w:rFonts w:cstheme="minorHAnsi"/>
              </w:rPr>
            </w:pPr>
            <w:r w:rsidRPr="00DD1C68">
              <w:rPr>
                <w:rFonts w:cstheme="minorHAnsi"/>
                <w:b/>
              </w:rPr>
              <w:t xml:space="preserve">Language: </w:t>
            </w:r>
            <w:r w:rsidR="005D7BC7">
              <w:rPr>
                <w:rFonts w:cstheme="minorHAnsi"/>
              </w:rPr>
              <w:t>English, Spanish, Dutch, Portuguese, Bulgarian, French, Croatian</w:t>
            </w:r>
            <w:r w:rsidR="00200395">
              <w:rPr>
                <w:rFonts w:cstheme="minorHAnsi"/>
              </w:rPr>
              <w:t>, Czech, Danish, Arabic, French</w:t>
            </w:r>
            <w:r w:rsidR="005D7BC7">
              <w:rPr>
                <w:rFonts w:cstheme="minorHAnsi"/>
              </w:rPr>
              <w:t>,</w:t>
            </w:r>
            <w:r w:rsidR="00200395">
              <w:rPr>
                <w:rFonts w:cstheme="minorHAnsi"/>
              </w:rPr>
              <w:t xml:space="preserve"> </w:t>
            </w:r>
            <w:r w:rsidR="005D7BC7">
              <w:rPr>
                <w:rFonts w:cstheme="minorHAnsi"/>
              </w:rPr>
              <w:t xml:space="preserve">Finnish, German, Hungarian, Hebrew, Italian, Latvian, Lithuanian, Norwegian, Urdu, Polish, Romanian, Russian, Slovakian, Slovenian, </w:t>
            </w:r>
            <w:r w:rsidR="00F90B8F">
              <w:rPr>
                <w:rFonts w:cstheme="minorHAnsi"/>
              </w:rPr>
              <w:t>Swedish, Turkish</w:t>
            </w:r>
          </w:p>
          <w:p w:rsidR="00F90B8F" w:rsidRPr="005D7BC7" w:rsidRDefault="00F90B8F" w:rsidP="00953EC0">
            <w:pPr>
              <w:pStyle w:val="NoSpacing"/>
              <w:rPr>
                <w:rFonts w:cstheme="minorHAnsi"/>
              </w:rPr>
            </w:pPr>
          </w:p>
          <w:p w:rsidR="00DD1C68" w:rsidRDefault="00DD1C68" w:rsidP="005D7BC7">
            <w:pPr>
              <w:pStyle w:val="NoSpacing"/>
              <w:rPr>
                <w:rFonts w:cstheme="minorHAnsi"/>
              </w:rPr>
            </w:pPr>
            <w:r>
              <w:rPr>
                <w:rFonts w:cstheme="minorHAnsi"/>
                <w:b/>
              </w:rPr>
              <w:t>Cost:</w:t>
            </w:r>
            <w:r w:rsidR="005D7BC7">
              <w:rPr>
                <w:rFonts w:cstheme="minorHAnsi"/>
                <w:b/>
              </w:rPr>
              <w:t xml:space="preserve"> </w:t>
            </w:r>
            <w:r w:rsidR="005D7BC7" w:rsidRPr="00200395">
              <w:rPr>
                <w:rFonts w:cstheme="minorHAnsi"/>
              </w:rPr>
              <w:t>Free with Limited Use License</w:t>
            </w:r>
          </w:p>
          <w:p w:rsidR="00F90B8F" w:rsidRDefault="00F90B8F" w:rsidP="005D7BC7">
            <w:pPr>
              <w:pStyle w:val="NoSpacing"/>
              <w:rPr>
                <w:rFonts w:cstheme="minorHAnsi"/>
              </w:rPr>
            </w:pPr>
          </w:p>
          <w:p w:rsidR="00F90B8F" w:rsidRDefault="00F90B8F" w:rsidP="005D7BC7">
            <w:pPr>
              <w:pStyle w:val="NoSpacing"/>
              <w:rPr>
                <w:rFonts w:cstheme="minorHAnsi"/>
              </w:rPr>
            </w:pPr>
            <w:r>
              <w:rPr>
                <w:rFonts w:cstheme="minorHAnsi"/>
              </w:rPr>
              <w:t xml:space="preserve">For additional guidance on administration, see guidelines provided by the </w:t>
            </w:r>
            <w:r>
              <w:rPr>
                <w:rFonts w:cstheme="minorHAnsi"/>
              </w:rPr>
              <w:lastRenderedPageBreak/>
              <w:t xml:space="preserve">survey developers: </w:t>
            </w:r>
            <w:hyperlink r:id="rId13" w:history="1">
              <w:r w:rsidRPr="00BE18C1">
                <w:rPr>
                  <w:rStyle w:val="Hyperlink"/>
                  <w:rFonts w:cstheme="minorHAnsi"/>
                </w:rPr>
                <w:t>http://www.pedsql.org/PedsQLguidelines.doc</w:t>
              </w:r>
            </w:hyperlink>
            <w:r>
              <w:rPr>
                <w:rFonts w:cstheme="minorHAnsi"/>
              </w:rPr>
              <w:t xml:space="preserve"> </w:t>
            </w:r>
          </w:p>
          <w:p w:rsidR="00695CD1" w:rsidRPr="00DD1C68" w:rsidRDefault="00695CD1" w:rsidP="005D7BC7">
            <w:pPr>
              <w:pStyle w:val="NoSpacing"/>
              <w:rPr>
                <w:rFonts w:cstheme="minorHAnsi"/>
              </w:rPr>
            </w:pPr>
          </w:p>
        </w:tc>
      </w:tr>
      <w:tr w:rsidR="00AF3F76" w:rsidRPr="00DD1C68" w:rsidTr="005247C2">
        <w:tc>
          <w:tcPr>
            <w:tcW w:w="2603" w:type="dxa"/>
          </w:tcPr>
          <w:p w:rsidR="00AF3F76" w:rsidRPr="00DD1C68" w:rsidRDefault="00AF3F76" w:rsidP="007F1266">
            <w:pPr>
              <w:pStyle w:val="NoSpacing"/>
              <w:rPr>
                <w:rFonts w:cstheme="minorHAnsi"/>
                <w:b/>
              </w:rPr>
            </w:pPr>
            <w:r>
              <w:rPr>
                <w:rFonts w:cstheme="minorHAnsi"/>
                <w:b/>
              </w:rPr>
              <w:lastRenderedPageBreak/>
              <w:t>Scoring</w:t>
            </w:r>
          </w:p>
        </w:tc>
        <w:tc>
          <w:tcPr>
            <w:tcW w:w="6973" w:type="dxa"/>
          </w:tcPr>
          <w:p w:rsidR="005D7BC7" w:rsidRDefault="005D7BC7" w:rsidP="00F90B8F">
            <w:pPr>
              <w:pStyle w:val="NoSpacing"/>
              <w:rPr>
                <w:rFonts w:cstheme="minorHAnsi"/>
              </w:rPr>
            </w:pPr>
            <w:r w:rsidRPr="005D7BC7">
              <w:rPr>
                <w:rFonts w:cstheme="minorHAnsi"/>
              </w:rPr>
              <w:t xml:space="preserve">On the </w:t>
            </w:r>
            <w:proofErr w:type="gramStart"/>
            <w:r w:rsidRPr="005D7BC7">
              <w:rPr>
                <w:rFonts w:cstheme="minorHAnsi"/>
              </w:rPr>
              <w:t>PedsQL  Generic</w:t>
            </w:r>
            <w:proofErr w:type="gramEnd"/>
            <w:r w:rsidRPr="005D7BC7">
              <w:rPr>
                <w:rFonts w:cstheme="minorHAnsi"/>
              </w:rPr>
              <w:t xml:space="preserve"> Core Scales, for ease of interpretability, items are reversed scored and linearly transformed to a 0-100 scale, so that higher scores indicate better HRQOL (Health-Related Quality of Life). </w:t>
            </w:r>
          </w:p>
          <w:p w:rsidR="00F90B8F" w:rsidRDefault="00F90B8F" w:rsidP="00F90B8F">
            <w:pPr>
              <w:pStyle w:val="NoSpacing"/>
              <w:ind w:left="720"/>
              <w:rPr>
                <w:rFonts w:cstheme="minorHAnsi"/>
              </w:rPr>
            </w:pPr>
          </w:p>
          <w:p w:rsidR="00695CD1" w:rsidRDefault="005D7BC7" w:rsidP="00F90B8F">
            <w:pPr>
              <w:pStyle w:val="NoSpacing"/>
              <w:rPr>
                <w:rFonts w:cstheme="minorHAnsi"/>
              </w:rPr>
            </w:pPr>
            <w:r w:rsidRPr="00695CD1">
              <w:rPr>
                <w:rFonts w:cstheme="minorHAnsi"/>
              </w:rPr>
              <w:t>Reverse score by transforming the 0-4 scale items to 0-100 as follows: 0=100, 1=75, 2=50, 3=25, 4=0</w:t>
            </w:r>
          </w:p>
          <w:p w:rsidR="00F90B8F" w:rsidRDefault="00F90B8F" w:rsidP="00F90B8F">
            <w:pPr>
              <w:pStyle w:val="NoSpacing"/>
              <w:rPr>
                <w:rFonts w:cstheme="minorHAnsi"/>
              </w:rPr>
            </w:pPr>
          </w:p>
          <w:p w:rsidR="00695CD1" w:rsidRDefault="005D7BC7" w:rsidP="00F90B8F">
            <w:pPr>
              <w:pStyle w:val="NoSpacing"/>
              <w:rPr>
                <w:rFonts w:cstheme="minorHAnsi"/>
              </w:rPr>
            </w:pPr>
            <w:r w:rsidRPr="00695CD1">
              <w:rPr>
                <w:rFonts w:cstheme="minorHAnsi"/>
              </w:rPr>
              <w:t>To create the Psychosocial Health Summary Score, the mean is computed as the sum of the items over the number of items answered in the Emotional, Social, and School Functioning Scales. The Physical Health Summary Score is the same as the Ph</w:t>
            </w:r>
            <w:r w:rsidR="00F90B8F">
              <w:rPr>
                <w:rFonts w:cstheme="minorHAnsi"/>
              </w:rPr>
              <w:t>ysical Functioning Scale Score.</w:t>
            </w:r>
          </w:p>
          <w:p w:rsidR="00F90B8F" w:rsidRDefault="00F90B8F" w:rsidP="00F90B8F">
            <w:pPr>
              <w:pStyle w:val="NoSpacing"/>
              <w:rPr>
                <w:rFonts w:cstheme="minorHAnsi"/>
              </w:rPr>
            </w:pPr>
          </w:p>
          <w:p w:rsidR="005D7BC7" w:rsidRPr="00695CD1" w:rsidRDefault="005D7BC7" w:rsidP="00F90B8F">
            <w:pPr>
              <w:pStyle w:val="NoSpacing"/>
              <w:rPr>
                <w:rFonts w:cstheme="minorHAnsi"/>
              </w:rPr>
            </w:pPr>
            <w:r w:rsidRPr="00695CD1">
              <w:rPr>
                <w:rFonts w:cstheme="minorHAnsi"/>
              </w:rPr>
              <w:t xml:space="preserve">To create the </w:t>
            </w:r>
            <w:r w:rsidR="00BB5D37" w:rsidRPr="00BB5D37">
              <w:rPr>
                <w:rFonts w:cstheme="minorHAnsi"/>
                <w:b/>
              </w:rPr>
              <w:t>"Total Scale Score"</w:t>
            </w:r>
            <w:r w:rsidRPr="00695CD1">
              <w:rPr>
                <w:rFonts w:cstheme="minorHAnsi"/>
              </w:rPr>
              <w:t xml:space="preserve"> the mean is computed as the sum of all the items over the number of items answered on all the Scales.</w:t>
            </w:r>
          </w:p>
          <w:p w:rsidR="00AF3F76" w:rsidRPr="00DD1C68" w:rsidRDefault="00AF3F76" w:rsidP="005D7BC7">
            <w:pPr>
              <w:pStyle w:val="NoSpacing"/>
              <w:rPr>
                <w:rFonts w:cstheme="minorHAnsi"/>
              </w:rPr>
            </w:pPr>
          </w:p>
        </w:tc>
      </w:tr>
      <w:tr w:rsidR="005247C2" w:rsidRPr="00DD1C68" w:rsidTr="005247C2">
        <w:tc>
          <w:tcPr>
            <w:tcW w:w="2603" w:type="dxa"/>
          </w:tcPr>
          <w:p w:rsidR="005247C2" w:rsidRPr="00DD1C68" w:rsidRDefault="005247C2" w:rsidP="007F1266">
            <w:pPr>
              <w:pStyle w:val="NoSpacing"/>
              <w:rPr>
                <w:rFonts w:cstheme="minorHAnsi"/>
                <w:b/>
              </w:rPr>
            </w:pPr>
            <w:r w:rsidRPr="004C4E93">
              <w:rPr>
                <w:rFonts w:cstheme="minorHAnsi"/>
                <w:b/>
              </w:rPr>
              <w:t>Scoring</w:t>
            </w:r>
            <w:r>
              <w:rPr>
                <w:rFonts w:cstheme="minorHAnsi"/>
                <w:b/>
              </w:rPr>
              <w:t xml:space="preserve"> Directionality</w:t>
            </w:r>
          </w:p>
        </w:tc>
        <w:tc>
          <w:tcPr>
            <w:tcW w:w="6973" w:type="dxa"/>
          </w:tcPr>
          <w:p w:rsidR="005247C2" w:rsidRPr="004C4E93" w:rsidRDefault="005247C2" w:rsidP="004F0E51">
            <w:pPr>
              <w:pStyle w:val="NoSpacing"/>
              <w:rPr>
                <w:rFonts w:eastAsia="Times New Roman" w:cs="Arial"/>
                <w:color w:val="000000"/>
              </w:rPr>
            </w:pPr>
            <w:r w:rsidRPr="004C4E93">
              <w:rPr>
                <w:rFonts w:eastAsia="Times New Roman" w:cs="Arial"/>
                <w:color w:val="000000"/>
              </w:rPr>
              <w:t xml:space="preserve">This measure has positive directionality, where higher scores are associated with better outcomes. </w:t>
            </w:r>
          </w:p>
          <w:p w:rsidR="005247C2" w:rsidRPr="004C4E93" w:rsidRDefault="005247C2" w:rsidP="004F0E51">
            <w:pPr>
              <w:pStyle w:val="NoSpacing"/>
              <w:rPr>
                <w:rFonts w:eastAsia="Times New Roman" w:cs="Arial"/>
                <w:color w:val="000000"/>
              </w:rPr>
            </w:pPr>
            <w:r w:rsidRPr="004C4E93">
              <w:rPr>
                <w:rFonts w:eastAsia="Times New Roman" w:cs="Arial"/>
                <w:color w:val="000000"/>
              </w:rPr>
              <w:t>Maximum Possible Score:</w:t>
            </w:r>
            <w:r>
              <w:rPr>
                <w:rFonts w:eastAsia="Times New Roman" w:cs="Arial"/>
                <w:color w:val="000000"/>
              </w:rPr>
              <w:t xml:space="preserve"> 100</w:t>
            </w:r>
          </w:p>
          <w:p w:rsidR="005247C2" w:rsidRPr="00200395" w:rsidRDefault="005247C2" w:rsidP="005247C2">
            <w:pPr>
              <w:pStyle w:val="NoSpacing"/>
              <w:rPr>
                <w:rFonts w:cstheme="minorHAnsi"/>
              </w:rPr>
            </w:pPr>
            <w:r w:rsidRPr="004C4E93">
              <w:rPr>
                <w:rFonts w:eastAsia="Times New Roman" w:cs="Arial"/>
                <w:color w:val="000000"/>
              </w:rPr>
              <w:t xml:space="preserve">Minimum Possible Score: </w:t>
            </w:r>
            <w:r>
              <w:rPr>
                <w:rFonts w:eastAsia="Times New Roman" w:cs="Arial"/>
                <w:color w:val="000000"/>
              </w:rPr>
              <w:t>0</w:t>
            </w:r>
          </w:p>
        </w:tc>
      </w:tr>
      <w:tr w:rsidR="00DD1C68" w:rsidRPr="00DD1C68" w:rsidTr="005247C2">
        <w:tc>
          <w:tcPr>
            <w:tcW w:w="2603" w:type="dxa"/>
          </w:tcPr>
          <w:p w:rsidR="00DD1C68" w:rsidRPr="00DD1C68" w:rsidRDefault="00DD1C68" w:rsidP="007F1266">
            <w:pPr>
              <w:pStyle w:val="NoSpacing"/>
              <w:rPr>
                <w:rFonts w:cstheme="minorHAnsi"/>
                <w:b/>
              </w:rPr>
            </w:pPr>
            <w:r w:rsidRPr="00DD1C68">
              <w:rPr>
                <w:rFonts w:cstheme="minorHAnsi"/>
                <w:b/>
              </w:rPr>
              <w:t xml:space="preserve">Measure Steward </w:t>
            </w:r>
            <w:r w:rsidR="007F1266">
              <w:rPr>
                <w:rFonts w:cstheme="minorHAnsi"/>
                <w:b/>
              </w:rPr>
              <w:t>c</w:t>
            </w:r>
            <w:r w:rsidRPr="00DD1C68">
              <w:rPr>
                <w:rFonts w:cstheme="minorHAnsi"/>
                <w:b/>
              </w:rPr>
              <w:t>ontact</w:t>
            </w:r>
          </w:p>
        </w:tc>
        <w:tc>
          <w:tcPr>
            <w:tcW w:w="6973" w:type="dxa"/>
          </w:tcPr>
          <w:p w:rsidR="00200395" w:rsidRPr="00200395" w:rsidRDefault="00200395" w:rsidP="00200395">
            <w:pPr>
              <w:pStyle w:val="NoSpacing"/>
              <w:rPr>
                <w:rFonts w:cstheme="minorHAnsi"/>
              </w:rPr>
            </w:pPr>
            <w:proofErr w:type="spellStart"/>
            <w:r w:rsidRPr="00200395">
              <w:rPr>
                <w:rFonts w:cstheme="minorHAnsi"/>
              </w:rPr>
              <w:t>Mapi</w:t>
            </w:r>
            <w:proofErr w:type="spellEnd"/>
            <w:r w:rsidRPr="00200395">
              <w:rPr>
                <w:rFonts w:cstheme="minorHAnsi"/>
              </w:rPr>
              <w:t xml:space="preserve"> Research Trust</w:t>
            </w:r>
          </w:p>
          <w:p w:rsidR="00200395" w:rsidRPr="00200395" w:rsidRDefault="00200395" w:rsidP="00200395">
            <w:pPr>
              <w:pStyle w:val="NoSpacing"/>
              <w:rPr>
                <w:rFonts w:cstheme="minorHAnsi"/>
              </w:rPr>
            </w:pPr>
            <w:r w:rsidRPr="00200395">
              <w:rPr>
                <w:rFonts w:cstheme="minorHAnsi"/>
              </w:rPr>
              <w:t xml:space="preserve">27, rue de la </w:t>
            </w:r>
            <w:proofErr w:type="spellStart"/>
            <w:r w:rsidRPr="00200395">
              <w:rPr>
                <w:rFonts w:cstheme="minorHAnsi"/>
              </w:rPr>
              <w:t>Villette</w:t>
            </w:r>
            <w:proofErr w:type="spellEnd"/>
          </w:p>
          <w:p w:rsidR="00200395" w:rsidRPr="00200395" w:rsidRDefault="00200395" w:rsidP="00200395">
            <w:pPr>
              <w:pStyle w:val="NoSpacing"/>
              <w:rPr>
                <w:rFonts w:cstheme="minorHAnsi"/>
              </w:rPr>
            </w:pPr>
            <w:r w:rsidRPr="00200395">
              <w:rPr>
                <w:rFonts w:cstheme="minorHAnsi"/>
              </w:rPr>
              <w:t>69003 Lyon</w:t>
            </w:r>
          </w:p>
          <w:p w:rsidR="00200395" w:rsidRDefault="00200395" w:rsidP="00200395">
            <w:pPr>
              <w:pStyle w:val="NoSpacing"/>
              <w:rPr>
                <w:rFonts w:cstheme="minorHAnsi"/>
              </w:rPr>
            </w:pPr>
            <w:r>
              <w:rPr>
                <w:rFonts w:cstheme="minorHAnsi"/>
              </w:rPr>
              <w:t>France</w:t>
            </w:r>
          </w:p>
          <w:p w:rsidR="00200395" w:rsidRPr="00200395" w:rsidRDefault="00200395" w:rsidP="00200395">
            <w:pPr>
              <w:pStyle w:val="NoSpacing"/>
              <w:rPr>
                <w:rFonts w:cstheme="minorHAnsi"/>
              </w:rPr>
            </w:pPr>
            <w:r w:rsidRPr="00200395">
              <w:rPr>
                <w:rFonts w:cstheme="minorHAnsi"/>
              </w:rPr>
              <w:t>Tel:</w:t>
            </w:r>
            <w:r w:rsidRPr="00200395">
              <w:rPr>
                <w:rFonts w:cstheme="minorHAnsi"/>
              </w:rPr>
              <w:tab/>
              <w:t>+33 4 72 13 65 75</w:t>
            </w:r>
          </w:p>
          <w:p w:rsidR="00DD1C68" w:rsidRDefault="00200395" w:rsidP="00200395">
            <w:pPr>
              <w:pStyle w:val="NoSpacing"/>
              <w:rPr>
                <w:rFonts w:cstheme="minorHAnsi"/>
              </w:rPr>
            </w:pPr>
            <w:r w:rsidRPr="00200395">
              <w:rPr>
                <w:rFonts w:cstheme="minorHAnsi"/>
              </w:rPr>
              <w:t>Fax:</w:t>
            </w:r>
            <w:r w:rsidRPr="00200395">
              <w:rPr>
                <w:rFonts w:cstheme="minorHAnsi"/>
              </w:rPr>
              <w:tab/>
              <w:t>+33 4 72 13 55 73</w:t>
            </w:r>
          </w:p>
          <w:p w:rsidR="00200395" w:rsidRPr="00DD1C68" w:rsidRDefault="00200395" w:rsidP="00200395">
            <w:pPr>
              <w:pStyle w:val="NoSpacing"/>
              <w:rPr>
                <w:rFonts w:cstheme="minorHAnsi"/>
              </w:rPr>
            </w:pPr>
            <w:r w:rsidRPr="00200395">
              <w:rPr>
                <w:rFonts w:cstheme="minorHAnsi"/>
              </w:rPr>
              <w:t>Email:</w:t>
            </w:r>
            <w:r w:rsidRPr="00200395">
              <w:rPr>
                <w:rFonts w:cstheme="minorHAnsi"/>
              </w:rPr>
              <w:tab/>
            </w:r>
            <w:hyperlink r:id="rId14" w:history="1">
              <w:r w:rsidR="00695CD1" w:rsidRPr="00BE18C1">
                <w:rPr>
                  <w:rStyle w:val="Hyperlink"/>
                  <w:rFonts w:cstheme="minorHAnsi"/>
                </w:rPr>
                <w:t>PROinformation@mapi-trust.org</w:t>
              </w:r>
            </w:hyperlink>
            <w:r w:rsidR="00695CD1">
              <w:rPr>
                <w:rFonts w:cstheme="minorHAnsi"/>
              </w:rPr>
              <w:t xml:space="preserve"> </w:t>
            </w:r>
          </w:p>
        </w:tc>
      </w:tr>
      <w:tr w:rsidR="00DD1C68" w:rsidRPr="00DD1C68" w:rsidTr="005247C2">
        <w:tc>
          <w:tcPr>
            <w:tcW w:w="2603" w:type="dxa"/>
          </w:tcPr>
          <w:p w:rsidR="00DD1C68" w:rsidRPr="00DD1C68" w:rsidRDefault="00DD1C68" w:rsidP="00A374B8">
            <w:pPr>
              <w:pStyle w:val="NoSpacing"/>
              <w:rPr>
                <w:rFonts w:cstheme="minorHAnsi"/>
                <w:b/>
              </w:rPr>
            </w:pPr>
            <w:r w:rsidRPr="00DD1C68">
              <w:rPr>
                <w:rFonts w:cstheme="minorHAnsi"/>
                <w:b/>
              </w:rPr>
              <w:t>DSRIP-specific modifications to Measure Steward’s specification</w:t>
            </w:r>
          </w:p>
        </w:tc>
        <w:tc>
          <w:tcPr>
            <w:tcW w:w="6973" w:type="dxa"/>
          </w:tcPr>
          <w:p w:rsidR="00DD1C68" w:rsidRPr="00F90B8F" w:rsidRDefault="00F90B8F" w:rsidP="00B05CBF">
            <w:pPr>
              <w:pStyle w:val="NoSpacing"/>
              <w:rPr>
                <w:rFonts w:cstheme="minorHAnsi"/>
                <w:i/>
              </w:rPr>
            </w:pPr>
            <w:r>
              <w:rPr>
                <w:rFonts w:cstheme="minorHAnsi"/>
                <w:i/>
              </w:rPr>
              <w:t>none</w:t>
            </w:r>
          </w:p>
        </w:tc>
      </w:tr>
      <w:tr w:rsidR="00BB5D37" w:rsidRPr="00DD1C68" w:rsidTr="005247C2">
        <w:tc>
          <w:tcPr>
            <w:tcW w:w="2603" w:type="dxa"/>
          </w:tcPr>
          <w:p w:rsidR="00BB5D37" w:rsidRPr="00DD1C68" w:rsidRDefault="00BB5D37" w:rsidP="00FC178C">
            <w:pPr>
              <w:pStyle w:val="NoSpacing"/>
              <w:rPr>
                <w:rFonts w:cstheme="minorHAnsi"/>
                <w:b/>
              </w:rPr>
            </w:pPr>
            <w:r w:rsidRPr="00DD1C68">
              <w:rPr>
                <w:rFonts w:cstheme="minorHAnsi"/>
                <w:b/>
              </w:rPr>
              <w:t xml:space="preserve">Numerator </w:t>
            </w:r>
            <w:r>
              <w:rPr>
                <w:rFonts w:cstheme="minorHAnsi"/>
                <w:b/>
              </w:rPr>
              <w:t>D</w:t>
            </w:r>
            <w:r w:rsidRPr="00DD1C68">
              <w:rPr>
                <w:rFonts w:cstheme="minorHAnsi"/>
                <w:b/>
              </w:rPr>
              <w:t xml:space="preserve">escription </w:t>
            </w:r>
          </w:p>
        </w:tc>
        <w:tc>
          <w:tcPr>
            <w:tcW w:w="6973" w:type="dxa"/>
          </w:tcPr>
          <w:p w:rsidR="005247C2" w:rsidRPr="004C4E93" w:rsidRDefault="005247C2" w:rsidP="005247C2">
            <w:pPr>
              <w:pStyle w:val="NoSpacing"/>
              <w:rPr>
                <w:rFonts w:cstheme="minorHAnsi"/>
              </w:rPr>
            </w:pPr>
            <w:r w:rsidRPr="004C4E93">
              <w:rPr>
                <w:rFonts w:eastAsia="Times New Roman" w:cs="Arial"/>
                <w:color w:val="000000"/>
              </w:rPr>
              <w:t>Scenario 1: Baseline includes pre and posttest scores</w:t>
            </w:r>
          </w:p>
          <w:p w:rsidR="005247C2" w:rsidRPr="004C4E93" w:rsidRDefault="005247C2" w:rsidP="005247C2">
            <w:pPr>
              <w:pStyle w:val="ListParagraph"/>
              <w:numPr>
                <w:ilvl w:val="0"/>
                <w:numId w:val="19"/>
              </w:numPr>
              <w:spacing w:line="240" w:lineRule="auto"/>
              <w:rPr>
                <w:rFonts w:cs="Arial"/>
              </w:rPr>
            </w:pPr>
            <w:r w:rsidRPr="004C4E93">
              <w:rPr>
                <w:rFonts w:eastAsia="Times New Roman" w:cs="Arial"/>
                <w:color w:val="000000"/>
              </w:rPr>
              <w:t xml:space="preserve">DY3: </w:t>
            </w:r>
          </w:p>
          <w:p w:rsidR="005247C2" w:rsidRPr="004C4E93" w:rsidRDefault="005247C2" w:rsidP="005247C2">
            <w:pPr>
              <w:pStyle w:val="ListParagraph"/>
              <w:numPr>
                <w:ilvl w:val="1"/>
                <w:numId w:val="19"/>
              </w:numPr>
              <w:spacing w:line="240" w:lineRule="auto"/>
              <w:ind w:left="1115"/>
              <w:rPr>
                <w:rFonts w:cs="Arial"/>
              </w:rPr>
            </w:pPr>
            <w:r w:rsidRPr="004C4E93">
              <w:rPr>
                <w:rFonts w:eastAsia="Times New Roman" w:cs="Arial"/>
                <w:color w:val="000000"/>
              </w:rPr>
              <w:t xml:space="preserve">The sum total of the most recent score of individuals who completed at least two surveys (pre and posttest) during the baseline measurement period. For individuals who have completed two or more posttests, only the most recent survey score should be reported. AND </w:t>
            </w:r>
          </w:p>
          <w:p w:rsidR="005247C2" w:rsidRPr="004C4E93" w:rsidRDefault="005247C2" w:rsidP="005247C2">
            <w:pPr>
              <w:pStyle w:val="ListParagraph"/>
              <w:numPr>
                <w:ilvl w:val="1"/>
                <w:numId w:val="19"/>
              </w:numPr>
              <w:spacing w:line="240" w:lineRule="auto"/>
              <w:ind w:left="1115"/>
              <w:rPr>
                <w:rFonts w:cs="Arial"/>
              </w:rPr>
            </w:pPr>
            <w:r w:rsidRPr="004C4E93">
              <w:rPr>
                <w:rFonts w:cs="Arial"/>
              </w:rPr>
              <w:t xml:space="preserve">The sum total of the pretest scores of all individuals who </w:t>
            </w:r>
            <w:r>
              <w:rPr>
                <w:rFonts w:cs="Arial"/>
              </w:rPr>
              <w:t>complete</w:t>
            </w:r>
            <w:r w:rsidRPr="004C4E93">
              <w:rPr>
                <w:rFonts w:cs="Arial"/>
              </w:rPr>
              <w:t xml:space="preserve"> at least two surveys since the beginning of DY1 (pretest and posttest), with the most recent posttest survey completed during the baseline measurement period.</w:t>
            </w:r>
          </w:p>
          <w:p w:rsidR="005247C2" w:rsidRPr="004C4E93" w:rsidRDefault="005247C2" w:rsidP="005247C2">
            <w:pPr>
              <w:pStyle w:val="ListParagraph"/>
              <w:numPr>
                <w:ilvl w:val="0"/>
                <w:numId w:val="19"/>
              </w:numPr>
              <w:spacing w:line="240" w:lineRule="auto"/>
              <w:rPr>
                <w:rFonts w:cs="Arial"/>
              </w:rPr>
            </w:pPr>
            <w:r w:rsidRPr="004C4E93">
              <w:rPr>
                <w:rFonts w:eastAsia="Times New Roman" w:cs="Arial"/>
                <w:color w:val="000000"/>
              </w:rPr>
              <w:t xml:space="preserve">DY4 &amp; DY5: The sum total of the most recent score of individuals who completed at least two surveys (pretest and posttest) since the beginning of baseline reporting, with the most recent survey completed during the reporting year. For individuals who have </w:t>
            </w:r>
            <w:r w:rsidRPr="004C4E93">
              <w:rPr>
                <w:rFonts w:eastAsia="Times New Roman" w:cs="Arial"/>
                <w:color w:val="000000"/>
              </w:rPr>
              <w:lastRenderedPageBreak/>
              <w:t xml:space="preserve">completed two or more posttest surveys, only the most recent survey score should be reported. </w:t>
            </w:r>
          </w:p>
          <w:p w:rsidR="005247C2" w:rsidRPr="004C4E93" w:rsidRDefault="005247C2" w:rsidP="005247C2">
            <w:pPr>
              <w:ind w:left="1115" w:hanging="360"/>
              <w:rPr>
                <w:rFonts w:eastAsia="Times New Roman" w:cs="Arial"/>
                <w:color w:val="000000"/>
              </w:rPr>
            </w:pPr>
          </w:p>
          <w:p w:rsidR="005247C2" w:rsidRPr="004C4E93" w:rsidRDefault="005247C2" w:rsidP="005247C2">
            <w:pPr>
              <w:pStyle w:val="NoSpacing"/>
              <w:rPr>
                <w:rFonts w:cstheme="minorHAnsi"/>
              </w:rPr>
            </w:pPr>
            <w:r w:rsidRPr="004C4E93">
              <w:rPr>
                <w:rFonts w:cstheme="minorHAnsi"/>
              </w:rPr>
              <w:t>Scenario 2: Baseline includes pretest scores only</w:t>
            </w:r>
          </w:p>
          <w:p w:rsidR="005247C2" w:rsidRPr="004C4E93" w:rsidRDefault="005247C2" w:rsidP="005247C2">
            <w:pPr>
              <w:pStyle w:val="ListParagraph"/>
              <w:numPr>
                <w:ilvl w:val="0"/>
                <w:numId w:val="17"/>
              </w:numPr>
              <w:spacing w:line="240" w:lineRule="auto"/>
              <w:rPr>
                <w:rFonts w:eastAsia="Times New Roman" w:cs="Arial"/>
                <w:color w:val="000000"/>
              </w:rPr>
            </w:pPr>
            <w:r w:rsidRPr="004C4E93">
              <w:rPr>
                <w:rFonts w:eastAsia="Times New Roman" w:cs="Arial"/>
                <w:color w:val="000000"/>
              </w:rPr>
              <w:t xml:space="preserve">DY3: The sum total from all pretest surveys completed during the baseline measurement period. </w:t>
            </w:r>
          </w:p>
          <w:p w:rsidR="005247C2" w:rsidRPr="004C4E93" w:rsidRDefault="005247C2" w:rsidP="005247C2">
            <w:pPr>
              <w:pStyle w:val="ListParagraph"/>
              <w:numPr>
                <w:ilvl w:val="0"/>
                <w:numId w:val="17"/>
              </w:numPr>
              <w:spacing w:line="240" w:lineRule="auto"/>
              <w:rPr>
                <w:rFonts w:eastAsia="Times New Roman" w:cs="Arial"/>
                <w:color w:val="000000"/>
              </w:rPr>
            </w:pPr>
            <w:r w:rsidRPr="004C4E93">
              <w:rPr>
                <w:rFonts w:eastAsia="Times New Roman" w:cs="Arial"/>
                <w:color w:val="000000"/>
              </w:rPr>
              <w:t xml:space="preserve">DY4 &amp; DY5: The sum total of the most recent score of individuals who completed at least two surveys (pretest and posttest) since the beginning of baseline reporting, with the most recent posttest survey completed during the reporting year. For individuals who have completed two or more posttest surveys, only the most recent score should be reported. </w:t>
            </w:r>
          </w:p>
          <w:p w:rsidR="005247C2" w:rsidRPr="004C4E93" w:rsidRDefault="005247C2" w:rsidP="005247C2">
            <w:pPr>
              <w:rPr>
                <w:rFonts w:eastAsia="Times New Roman" w:cs="Arial"/>
                <w:color w:val="000000"/>
              </w:rPr>
            </w:pPr>
          </w:p>
          <w:p w:rsidR="005247C2" w:rsidRPr="004C4E93" w:rsidRDefault="005247C2" w:rsidP="005247C2">
            <w:pPr>
              <w:pStyle w:val="NoSpacing"/>
              <w:rPr>
                <w:rFonts w:cstheme="minorHAnsi"/>
              </w:rPr>
            </w:pPr>
            <w:r w:rsidRPr="004C4E93">
              <w:rPr>
                <w:rFonts w:cstheme="minorHAnsi"/>
              </w:rPr>
              <w:t>Scenario 3: No pre/post testing methodology</w:t>
            </w:r>
          </w:p>
          <w:p w:rsidR="005247C2" w:rsidRPr="004C4E93" w:rsidRDefault="005247C2" w:rsidP="005247C2">
            <w:pPr>
              <w:pStyle w:val="ListParagraph"/>
              <w:numPr>
                <w:ilvl w:val="0"/>
                <w:numId w:val="18"/>
              </w:numPr>
              <w:spacing w:line="240" w:lineRule="auto"/>
              <w:rPr>
                <w:rFonts w:eastAsia="Times New Roman" w:cs="Arial"/>
                <w:color w:val="000000"/>
              </w:rPr>
            </w:pPr>
            <w:r w:rsidRPr="004C4E93">
              <w:rPr>
                <w:rFonts w:cstheme="minorHAnsi"/>
              </w:rPr>
              <w:t>DY3 - DY5: The sum of the "overall score" from all of surveys completed during the measurement period.</w:t>
            </w:r>
          </w:p>
          <w:p w:rsidR="00BB5D37" w:rsidRDefault="00BB5D37" w:rsidP="00FC178C">
            <w:pPr>
              <w:pStyle w:val="NoSpacing"/>
              <w:rPr>
                <w:rFonts w:cstheme="minorHAnsi"/>
              </w:rPr>
            </w:pPr>
          </w:p>
          <w:p w:rsidR="00BB5D37" w:rsidRPr="00DD1C68" w:rsidRDefault="00BB5D37" w:rsidP="00FC178C">
            <w:pPr>
              <w:pStyle w:val="NoSpacing"/>
              <w:rPr>
                <w:rFonts w:cstheme="minorHAnsi"/>
              </w:rPr>
            </w:pPr>
          </w:p>
        </w:tc>
      </w:tr>
      <w:tr w:rsidR="00BB5D37" w:rsidRPr="00DD1C68" w:rsidTr="005247C2">
        <w:tc>
          <w:tcPr>
            <w:tcW w:w="2603" w:type="dxa"/>
          </w:tcPr>
          <w:p w:rsidR="00BB5D37" w:rsidRPr="00DD1C68" w:rsidRDefault="00BB5D37" w:rsidP="00FC178C">
            <w:pPr>
              <w:pStyle w:val="NoSpacing"/>
              <w:rPr>
                <w:rFonts w:cstheme="minorHAnsi"/>
                <w:b/>
              </w:rPr>
            </w:pPr>
            <w:r w:rsidRPr="00DD1C68">
              <w:rPr>
                <w:rFonts w:cstheme="minorHAnsi"/>
                <w:b/>
              </w:rPr>
              <w:lastRenderedPageBreak/>
              <w:t>Numerator Inclusions</w:t>
            </w:r>
          </w:p>
        </w:tc>
        <w:tc>
          <w:tcPr>
            <w:tcW w:w="6973" w:type="dxa"/>
          </w:tcPr>
          <w:p w:rsidR="00BB5D37" w:rsidRDefault="00BB5D37" w:rsidP="00FC178C">
            <w:pPr>
              <w:pStyle w:val="NoSpacing"/>
              <w:rPr>
                <w:i/>
              </w:rPr>
            </w:pPr>
            <w:r w:rsidRPr="005F3EE8">
              <w:rPr>
                <w:i/>
              </w:rPr>
              <w:t>The survey developer does not identify specific numerator inclusions beyond what is described in the numerator description.</w:t>
            </w:r>
          </w:p>
          <w:p w:rsidR="00BB5D37" w:rsidRPr="005F3EE8" w:rsidRDefault="00BB5D37" w:rsidP="00FC178C">
            <w:pPr>
              <w:pStyle w:val="NoSpacing"/>
              <w:rPr>
                <w:rFonts w:cstheme="minorHAnsi"/>
                <w:b/>
                <w:i/>
              </w:rPr>
            </w:pPr>
          </w:p>
        </w:tc>
      </w:tr>
      <w:tr w:rsidR="00BB5D37" w:rsidRPr="00DD1C68" w:rsidTr="005247C2">
        <w:tc>
          <w:tcPr>
            <w:tcW w:w="2603" w:type="dxa"/>
          </w:tcPr>
          <w:p w:rsidR="00BB5D37" w:rsidRPr="00DD1C68" w:rsidRDefault="00BB5D37" w:rsidP="00FC178C">
            <w:pPr>
              <w:pStyle w:val="NoSpacing"/>
              <w:rPr>
                <w:rFonts w:cstheme="minorHAnsi"/>
                <w:b/>
              </w:rPr>
            </w:pPr>
            <w:r w:rsidRPr="00DD1C68">
              <w:rPr>
                <w:rFonts w:cstheme="minorHAnsi"/>
                <w:b/>
              </w:rPr>
              <w:t>Numerator Exclusions</w:t>
            </w:r>
          </w:p>
        </w:tc>
        <w:tc>
          <w:tcPr>
            <w:tcW w:w="6973" w:type="dxa"/>
          </w:tcPr>
          <w:p w:rsidR="00BB5D37" w:rsidRDefault="00BB5D37" w:rsidP="00FC178C">
            <w:pPr>
              <w:pStyle w:val="NoSpacing"/>
              <w:rPr>
                <w:i/>
              </w:rPr>
            </w:pPr>
            <w:r w:rsidRPr="005F3EE8">
              <w:rPr>
                <w:i/>
              </w:rPr>
              <w:t>The survey developer does not identify specific numerator inclusions beyond what is described in the numerator description.</w:t>
            </w:r>
          </w:p>
          <w:p w:rsidR="00BB5D37" w:rsidRPr="005F3EE8" w:rsidRDefault="00BB5D37" w:rsidP="00FC178C">
            <w:pPr>
              <w:pStyle w:val="NoSpacing"/>
              <w:rPr>
                <w:rFonts w:cstheme="minorHAnsi"/>
                <w:i/>
              </w:rPr>
            </w:pPr>
          </w:p>
        </w:tc>
      </w:tr>
      <w:tr w:rsidR="00BB5D37" w:rsidRPr="00DD1C68" w:rsidTr="005247C2">
        <w:tc>
          <w:tcPr>
            <w:tcW w:w="2603" w:type="dxa"/>
          </w:tcPr>
          <w:p w:rsidR="00BB5D37" w:rsidRPr="00DD1C68" w:rsidRDefault="00BB5D37" w:rsidP="00FC178C">
            <w:pPr>
              <w:pStyle w:val="NoSpacing"/>
              <w:rPr>
                <w:rFonts w:cstheme="minorHAnsi"/>
                <w:b/>
              </w:rPr>
            </w:pPr>
            <w:r w:rsidRPr="00DD1C68">
              <w:rPr>
                <w:rFonts w:cstheme="minorHAnsi"/>
                <w:b/>
              </w:rPr>
              <w:t xml:space="preserve">Denominator Description </w:t>
            </w:r>
          </w:p>
        </w:tc>
        <w:tc>
          <w:tcPr>
            <w:tcW w:w="6973" w:type="dxa"/>
          </w:tcPr>
          <w:p w:rsidR="005247C2" w:rsidRPr="004C4E93" w:rsidRDefault="005247C2" w:rsidP="005247C2">
            <w:pPr>
              <w:rPr>
                <w:rFonts w:eastAsia="Times New Roman" w:cs="Arial"/>
                <w:color w:val="000000"/>
              </w:rPr>
            </w:pPr>
            <w:r>
              <w:rPr>
                <w:rFonts w:eastAsia="Times New Roman" w:cs="Arial"/>
                <w:color w:val="000000"/>
              </w:rPr>
              <w:t xml:space="preserve">Note: </w:t>
            </w:r>
            <w:r w:rsidRPr="004C4E93">
              <w:rPr>
                <w:rFonts w:eastAsia="Times New Roman" w:cs="Arial"/>
                <w:color w:val="000000"/>
              </w:rPr>
              <w:t xml:space="preserve">In all scenarios, the numerator and denominator should result in an average score. </w:t>
            </w:r>
          </w:p>
          <w:p w:rsidR="005247C2" w:rsidRPr="004C4E93" w:rsidRDefault="005247C2" w:rsidP="005247C2">
            <w:pPr>
              <w:pStyle w:val="NoSpacing"/>
              <w:rPr>
                <w:rFonts w:eastAsia="Times New Roman" w:cs="Arial"/>
                <w:color w:val="000000"/>
              </w:rPr>
            </w:pPr>
          </w:p>
          <w:p w:rsidR="005247C2" w:rsidRPr="004C4E93" w:rsidRDefault="005247C2" w:rsidP="005247C2">
            <w:pPr>
              <w:pStyle w:val="NoSpacing"/>
              <w:rPr>
                <w:rFonts w:cstheme="minorHAnsi"/>
              </w:rPr>
            </w:pPr>
            <w:r w:rsidRPr="004C4E93">
              <w:rPr>
                <w:rFonts w:eastAsia="Times New Roman" w:cs="Arial"/>
                <w:color w:val="000000"/>
              </w:rPr>
              <w:t>Scenario 1: Baseline includes pre and posttest scores</w:t>
            </w:r>
          </w:p>
          <w:p w:rsidR="005247C2" w:rsidRPr="004C4E93" w:rsidRDefault="005247C2" w:rsidP="005247C2">
            <w:pPr>
              <w:pStyle w:val="ListParagraph"/>
              <w:numPr>
                <w:ilvl w:val="0"/>
                <w:numId w:val="18"/>
              </w:numPr>
              <w:spacing w:line="240" w:lineRule="auto"/>
              <w:rPr>
                <w:rFonts w:eastAsia="Times New Roman" w:cs="Arial"/>
                <w:color w:val="000000"/>
              </w:rPr>
            </w:pPr>
            <w:r w:rsidRPr="004C4E93">
              <w:rPr>
                <w:rFonts w:eastAsia="Times New Roman" w:cs="Arial"/>
                <w:color w:val="000000"/>
              </w:rPr>
              <w:t xml:space="preserve">DY3: For both reported scores (pretest and posttest), the denominator will be the total number of individuals who have completed at least two surveys (pretest posttest) at the end of the baseline measurement period. </w:t>
            </w:r>
          </w:p>
          <w:p w:rsidR="005247C2" w:rsidRPr="004C4E93" w:rsidRDefault="005247C2" w:rsidP="005247C2">
            <w:pPr>
              <w:pStyle w:val="ListParagraph"/>
              <w:numPr>
                <w:ilvl w:val="0"/>
                <w:numId w:val="18"/>
              </w:numPr>
              <w:spacing w:line="240" w:lineRule="auto"/>
              <w:rPr>
                <w:rFonts w:eastAsia="Times New Roman" w:cs="Arial"/>
                <w:color w:val="000000"/>
              </w:rPr>
            </w:pPr>
            <w:r w:rsidRPr="004C4E93">
              <w:rPr>
                <w:rFonts w:eastAsia="Times New Roman" w:cs="Arial"/>
                <w:color w:val="000000"/>
              </w:rPr>
              <w:t xml:space="preserve">DY4 &amp; DY5: The total number of individuals receiving at least two surveys (pretest and posttest) since the beginning of baseline reporting, with the most recent posttest survey completed during the reporting year. </w:t>
            </w:r>
          </w:p>
          <w:p w:rsidR="005247C2" w:rsidRPr="004C4E93" w:rsidRDefault="005247C2" w:rsidP="005247C2">
            <w:pPr>
              <w:rPr>
                <w:rFonts w:eastAsia="Times New Roman" w:cs="Arial"/>
                <w:color w:val="000000"/>
              </w:rPr>
            </w:pPr>
          </w:p>
          <w:p w:rsidR="005247C2" w:rsidRPr="004C4E93" w:rsidRDefault="005247C2" w:rsidP="005247C2">
            <w:pPr>
              <w:pStyle w:val="NoSpacing"/>
              <w:rPr>
                <w:rFonts w:cstheme="minorHAnsi"/>
              </w:rPr>
            </w:pPr>
            <w:r w:rsidRPr="004C4E93">
              <w:rPr>
                <w:rFonts w:cstheme="minorHAnsi"/>
              </w:rPr>
              <w:t>Scenario 2: Baseline includes pretest scores only</w:t>
            </w:r>
          </w:p>
          <w:p w:rsidR="005247C2" w:rsidRPr="004C4E93" w:rsidRDefault="005247C2" w:rsidP="005247C2">
            <w:pPr>
              <w:pStyle w:val="ListParagraph"/>
              <w:numPr>
                <w:ilvl w:val="0"/>
                <w:numId w:val="20"/>
              </w:numPr>
              <w:spacing w:line="240" w:lineRule="auto"/>
              <w:rPr>
                <w:rFonts w:eastAsia="Times New Roman" w:cs="Arial"/>
                <w:color w:val="000000"/>
              </w:rPr>
            </w:pPr>
            <w:r w:rsidRPr="004C4E93">
              <w:rPr>
                <w:rFonts w:eastAsia="Times New Roman" w:cs="Arial"/>
                <w:color w:val="000000"/>
              </w:rPr>
              <w:t>DY3: The total number of individuals completing pretest surveys during the baseline measurement period.</w:t>
            </w:r>
          </w:p>
          <w:p w:rsidR="005247C2" w:rsidRPr="004C4E93" w:rsidRDefault="005247C2" w:rsidP="005247C2">
            <w:pPr>
              <w:pStyle w:val="ListParagraph"/>
              <w:numPr>
                <w:ilvl w:val="0"/>
                <w:numId w:val="20"/>
              </w:numPr>
              <w:spacing w:line="240" w:lineRule="auto"/>
              <w:rPr>
                <w:rFonts w:eastAsia="Times New Roman" w:cs="Arial"/>
                <w:color w:val="000000"/>
              </w:rPr>
            </w:pPr>
            <w:r w:rsidRPr="004C4E93">
              <w:rPr>
                <w:rFonts w:eastAsia="Times New Roman" w:cs="Arial"/>
                <w:color w:val="000000"/>
              </w:rPr>
              <w:t xml:space="preserve">DY4 &amp; DY5: The total number of individuals receiving at least two surveys since the beginning of baseline reporting, with the most recent survey completed during the reporting year. </w:t>
            </w:r>
          </w:p>
          <w:p w:rsidR="005247C2" w:rsidRPr="004C4E93" w:rsidRDefault="005247C2" w:rsidP="005247C2">
            <w:pPr>
              <w:rPr>
                <w:rFonts w:eastAsia="Times New Roman" w:cs="Arial"/>
                <w:color w:val="000000"/>
              </w:rPr>
            </w:pPr>
          </w:p>
          <w:p w:rsidR="005247C2" w:rsidRPr="004C4E93" w:rsidRDefault="005247C2" w:rsidP="005247C2">
            <w:pPr>
              <w:pStyle w:val="NoSpacing"/>
              <w:rPr>
                <w:rFonts w:cstheme="minorHAnsi"/>
              </w:rPr>
            </w:pPr>
            <w:r w:rsidRPr="004C4E93">
              <w:rPr>
                <w:rFonts w:cstheme="minorHAnsi"/>
              </w:rPr>
              <w:t>Scenario 3: No pre/post testing methodology</w:t>
            </w:r>
          </w:p>
          <w:p w:rsidR="005247C2" w:rsidRPr="004C4E93" w:rsidRDefault="005247C2" w:rsidP="005247C2">
            <w:pPr>
              <w:pStyle w:val="ListParagraph"/>
              <w:numPr>
                <w:ilvl w:val="0"/>
                <w:numId w:val="21"/>
              </w:numPr>
              <w:spacing w:line="240" w:lineRule="auto"/>
              <w:rPr>
                <w:rFonts w:eastAsia="Times New Roman" w:cs="Arial"/>
                <w:color w:val="000000"/>
              </w:rPr>
            </w:pPr>
            <w:r w:rsidRPr="004C4E93">
              <w:rPr>
                <w:rFonts w:cstheme="minorHAnsi"/>
              </w:rPr>
              <w:lastRenderedPageBreak/>
              <w:t>DY3-DY5: The total number of surveys completed during the measurement period</w:t>
            </w:r>
          </w:p>
          <w:p w:rsidR="00685163" w:rsidRPr="00DD1C68" w:rsidRDefault="00685163" w:rsidP="00BB5D37">
            <w:pPr>
              <w:pStyle w:val="NoSpacing"/>
              <w:rPr>
                <w:rFonts w:cstheme="minorHAnsi"/>
              </w:rPr>
            </w:pPr>
          </w:p>
        </w:tc>
      </w:tr>
      <w:tr w:rsidR="00BB5D37" w:rsidRPr="00DD1C68" w:rsidTr="005247C2">
        <w:tc>
          <w:tcPr>
            <w:tcW w:w="2603" w:type="dxa"/>
          </w:tcPr>
          <w:p w:rsidR="00BB5D37" w:rsidRPr="00DD1C68" w:rsidRDefault="00BB5D37" w:rsidP="00FC178C">
            <w:pPr>
              <w:pStyle w:val="NoSpacing"/>
              <w:rPr>
                <w:rFonts w:cstheme="minorHAnsi"/>
                <w:b/>
              </w:rPr>
            </w:pPr>
            <w:r w:rsidRPr="00DD1C68">
              <w:rPr>
                <w:rFonts w:cstheme="minorHAnsi"/>
                <w:b/>
              </w:rPr>
              <w:lastRenderedPageBreak/>
              <w:t xml:space="preserve">Denominator </w:t>
            </w:r>
            <w:r>
              <w:rPr>
                <w:rFonts w:cstheme="minorHAnsi"/>
                <w:b/>
              </w:rPr>
              <w:t>I</w:t>
            </w:r>
            <w:r w:rsidRPr="00DD1C68">
              <w:rPr>
                <w:rFonts w:cstheme="minorHAnsi"/>
                <w:b/>
              </w:rPr>
              <w:t>nclusions</w:t>
            </w:r>
          </w:p>
        </w:tc>
        <w:tc>
          <w:tcPr>
            <w:tcW w:w="6973" w:type="dxa"/>
          </w:tcPr>
          <w:p w:rsidR="00BB5D37" w:rsidRDefault="00BB5D37" w:rsidP="00FC178C">
            <w:pPr>
              <w:pStyle w:val="NoSpacing"/>
              <w:rPr>
                <w:i/>
              </w:rPr>
            </w:pPr>
            <w:r w:rsidRPr="005F3EE8">
              <w:rPr>
                <w:i/>
              </w:rPr>
              <w:t>The survey developer does not identify specific denominator inclusions beyond what is described in the denominator description.</w:t>
            </w:r>
          </w:p>
          <w:p w:rsidR="00BB5D37" w:rsidRPr="005F3EE8" w:rsidRDefault="00BB5D37" w:rsidP="00FC178C">
            <w:pPr>
              <w:pStyle w:val="NoSpacing"/>
              <w:rPr>
                <w:rFonts w:cstheme="minorHAnsi"/>
                <w:i/>
              </w:rPr>
            </w:pPr>
          </w:p>
        </w:tc>
      </w:tr>
      <w:tr w:rsidR="00BB5D37" w:rsidRPr="00DD1C68" w:rsidTr="005247C2">
        <w:tc>
          <w:tcPr>
            <w:tcW w:w="2603" w:type="dxa"/>
          </w:tcPr>
          <w:p w:rsidR="00BB5D37" w:rsidRPr="00DD1C68" w:rsidRDefault="00BB5D37" w:rsidP="00FC178C">
            <w:pPr>
              <w:pStyle w:val="NoSpacing"/>
              <w:rPr>
                <w:rFonts w:cstheme="minorHAnsi"/>
                <w:b/>
              </w:rPr>
            </w:pPr>
            <w:r w:rsidRPr="00DD1C68">
              <w:rPr>
                <w:rFonts w:cstheme="minorHAnsi"/>
                <w:b/>
              </w:rPr>
              <w:t xml:space="preserve">Denominator </w:t>
            </w:r>
            <w:r>
              <w:rPr>
                <w:rFonts w:cstheme="minorHAnsi"/>
                <w:b/>
              </w:rPr>
              <w:t>E</w:t>
            </w:r>
            <w:r w:rsidRPr="00DD1C68">
              <w:rPr>
                <w:rFonts w:cstheme="minorHAnsi"/>
                <w:b/>
              </w:rPr>
              <w:t>xclusions</w:t>
            </w:r>
          </w:p>
        </w:tc>
        <w:tc>
          <w:tcPr>
            <w:tcW w:w="6973" w:type="dxa"/>
          </w:tcPr>
          <w:p w:rsidR="00BB5D37" w:rsidRDefault="00BB5D37" w:rsidP="00FC178C">
            <w:pPr>
              <w:pStyle w:val="NoSpacing"/>
              <w:rPr>
                <w:i/>
              </w:rPr>
            </w:pPr>
            <w:r w:rsidRPr="005F3EE8">
              <w:rPr>
                <w:i/>
              </w:rPr>
              <w:t>The survey developer does not identify specific denominator exclusions beyond what is described in the denominator description.</w:t>
            </w:r>
          </w:p>
          <w:p w:rsidR="00BB5D37" w:rsidRPr="005F3EE8" w:rsidRDefault="00BB5D37" w:rsidP="00FC178C">
            <w:pPr>
              <w:pStyle w:val="NoSpacing"/>
              <w:rPr>
                <w:rFonts w:cstheme="minorHAnsi"/>
                <w:i/>
              </w:rPr>
            </w:pPr>
          </w:p>
        </w:tc>
      </w:tr>
      <w:tr w:rsidR="00DD1C68" w:rsidRPr="00DD1C68" w:rsidTr="005247C2">
        <w:tc>
          <w:tcPr>
            <w:tcW w:w="2603" w:type="dxa"/>
          </w:tcPr>
          <w:p w:rsidR="00DD1C68" w:rsidRPr="00DD1C68" w:rsidRDefault="00DD1C68" w:rsidP="007F1266">
            <w:pPr>
              <w:pStyle w:val="NoSpacing"/>
              <w:rPr>
                <w:rFonts w:cstheme="minorHAnsi"/>
                <w:b/>
              </w:rPr>
            </w:pPr>
            <w:r w:rsidRPr="00DD1C68">
              <w:rPr>
                <w:rFonts w:cstheme="minorHAnsi"/>
                <w:b/>
              </w:rPr>
              <w:t xml:space="preserve">Denominator </w:t>
            </w:r>
            <w:r w:rsidR="007F1266">
              <w:rPr>
                <w:rFonts w:cstheme="minorHAnsi"/>
                <w:b/>
              </w:rPr>
              <w:t>S</w:t>
            </w:r>
            <w:r w:rsidRPr="00DD1C68">
              <w:rPr>
                <w:rFonts w:cstheme="minorHAnsi"/>
                <w:b/>
              </w:rPr>
              <w:t>ize</w:t>
            </w:r>
          </w:p>
        </w:tc>
        <w:tc>
          <w:tcPr>
            <w:tcW w:w="6973" w:type="dxa"/>
          </w:tcPr>
          <w:p w:rsidR="00DD1C68" w:rsidRPr="00DD1C68" w:rsidRDefault="00DD1C68" w:rsidP="0031777F">
            <w:pPr>
              <w:pStyle w:val="NoSpacing"/>
              <w:rPr>
                <w:rFonts w:cstheme="minorHAnsi"/>
              </w:rPr>
            </w:pPr>
            <w:r w:rsidRPr="00DD1C68">
              <w:rPr>
                <w:rFonts w:cstheme="minorHAnsi"/>
              </w:rPr>
              <w:t>Providers must report a minimum of 30 cases per measure during a 12-month measurement period (15 cases for a 6-month measurement period)</w:t>
            </w:r>
          </w:p>
          <w:p w:rsidR="00DD1C68" w:rsidRPr="00DD1C68" w:rsidRDefault="00DD1C68" w:rsidP="0031777F">
            <w:pPr>
              <w:pStyle w:val="NoSpacing"/>
              <w:numPr>
                <w:ilvl w:val="0"/>
                <w:numId w:val="8"/>
              </w:numPr>
              <w:rPr>
                <w:rFonts w:cstheme="minorHAnsi"/>
              </w:rPr>
            </w:pPr>
            <w:r w:rsidRPr="00DD1C68">
              <w:rPr>
                <w:rFonts w:cstheme="minorHAnsi"/>
              </w:rPr>
              <w:t>For a measurement period (either 6 or 12-months) where the denominator size is less than or equal to 75, providers must report on all cases. No sampling is allowed.</w:t>
            </w:r>
          </w:p>
          <w:p w:rsidR="00DD1C68" w:rsidRPr="00DD1C68" w:rsidRDefault="00DD1C68" w:rsidP="0031777F">
            <w:pPr>
              <w:pStyle w:val="NoSpacing"/>
              <w:numPr>
                <w:ilvl w:val="0"/>
                <w:numId w:val="8"/>
              </w:numPr>
              <w:rPr>
                <w:rFonts w:cstheme="minorHAnsi"/>
              </w:rPr>
            </w:pPr>
            <w:r w:rsidRPr="00DD1C68">
              <w:rPr>
                <w:rFonts w:cstheme="minorHAnsi"/>
              </w:rPr>
              <w:t>For a measurement period (either 6 or 12-months) where the denominator size is less than or equal to 380 but greater than 75, providers must report on a random sample of not less than 76 cases.</w:t>
            </w:r>
          </w:p>
          <w:p w:rsidR="00DD1C68" w:rsidRDefault="00DD1C68" w:rsidP="0031777F">
            <w:pPr>
              <w:pStyle w:val="NoSpacing"/>
              <w:numPr>
                <w:ilvl w:val="0"/>
                <w:numId w:val="8"/>
              </w:numPr>
              <w:rPr>
                <w:rFonts w:cstheme="minorHAnsi"/>
              </w:rPr>
            </w:pPr>
            <w:r w:rsidRPr="00DD1C68">
              <w:rPr>
                <w:rFonts w:cstheme="minorHAnsi"/>
              </w:rPr>
              <w:t xml:space="preserve">For a measurement period (either 6 or 12-months) where the denominator size is greater than </w:t>
            </w:r>
            <w:r w:rsidR="002C293A">
              <w:rPr>
                <w:rFonts w:cstheme="minorHAnsi"/>
              </w:rPr>
              <w:t>380</w:t>
            </w:r>
            <w:r w:rsidRPr="00DD1C68">
              <w:rPr>
                <w:rFonts w:cstheme="minorHAnsi"/>
              </w:rPr>
              <w:t xml:space="preserve">, providers must report on a random sample of cases that is not less than 20% of all cases; however, providers may cap the total sample size at 300 cases. </w:t>
            </w:r>
          </w:p>
          <w:p w:rsidR="00F90B8F" w:rsidRPr="00DD1C68" w:rsidRDefault="00F90B8F" w:rsidP="00F90B8F">
            <w:pPr>
              <w:pStyle w:val="NoSpacing"/>
              <w:ind w:left="360"/>
              <w:rPr>
                <w:rFonts w:cstheme="minorHAnsi"/>
              </w:rPr>
            </w:pPr>
          </w:p>
        </w:tc>
      </w:tr>
      <w:tr w:rsidR="005247C2" w:rsidRPr="00DD1C68" w:rsidTr="005247C2">
        <w:tc>
          <w:tcPr>
            <w:tcW w:w="2603" w:type="dxa"/>
          </w:tcPr>
          <w:p w:rsidR="005247C2" w:rsidRPr="00DD1C68" w:rsidRDefault="005247C2" w:rsidP="003E7258">
            <w:pPr>
              <w:pStyle w:val="NoSpacing"/>
              <w:rPr>
                <w:rFonts w:cstheme="minorHAnsi"/>
                <w:b/>
              </w:rPr>
            </w:pPr>
            <w:r>
              <w:rPr>
                <w:b/>
              </w:rPr>
              <w:t>Allowable Denominator Sub-sets</w:t>
            </w:r>
          </w:p>
        </w:tc>
        <w:tc>
          <w:tcPr>
            <w:tcW w:w="6973" w:type="dxa"/>
          </w:tcPr>
          <w:p w:rsidR="005247C2" w:rsidRDefault="005247C2" w:rsidP="004F0E51">
            <w:pPr>
              <w:pStyle w:val="NoSpacing"/>
            </w:pPr>
            <w:r>
              <w:t>All denominator subsets are permissible for this outcome</w:t>
            </w:r>
          </w:p>
          <w:p w:rsidR="005247C2" w:rsidRPr="00DD1C68" w:rsidRDefault="005247C2" w:rsidP="003E7258">
            <w:pPr>
              <w:pStyle w:val="NoSpacing"/>
              <w:rPr>
                <w:rFonts w:cstheme="minorHAnsi"/>
              </w:rPr>
            </w:pPr>
          </w:p>
        </w:tc>
      </w:tr>
      <w:tr w:rsidR="005247C2" w:rsidRPr="00DD1C68" w:rsidTr="005247C2">
        <w:tc>
          <w:tcPr>
            <w:tcW w:w="2603" w:type="dxa"/>
          </w:tcPr>
          <w:p w:rsidR="005247C2" w:rsidRDefault="005247C2" w:rsidP="00A374B8">
            <w:pPr>
              <w:pStyle w:val="NoSpacing"/>
              <w:rPr>
                <w:rFonts w:cstheme="minorHAnsi"/>
                <w:b/>
              </w:rPr>
            </w:pPr>
            <w:r w:rsidRPr="00601154">
              <w:rPr>
                <w:b/>
              </w:rPr>
              <w:t xml:space="preserve">Pretest Score Boundary (Optional) </w:t>
            </w:r>
          </w:p>
        </w:tc>
        <w:tc>
          <w:tcPr>
            <w:tcW w:w="6973" w:type="dxa"/>
          </w:tcPr>
          <w:p w:rsidR="005247C2" w:rsidRDefault="005247C2" w:rsidP="00FE333A">
            <w:pPr>
              <w:pStyle w:val="NoSpacing"/>
              <w:rPr>
                <w:rFonts w:cstheme="minorHAnsi"/>
              </w:rPr>
            </w:pPr>
            <w:r w:rsidRPr="004C4E93">
              <w:t>Providers reporting this measure have the option of defining a pretest score</w:t>
            </w:r>
            <w:r>
              <w:t xml:space="preserve"> boundary </w:t>
            </w:r>
            <w:r w:rsidRPr="004C4E93">
              <w:t>during their baseline measurement years</w:t>
            </w:r>
            <w:r>
              <w:t xml:space="preserve"> to normalize their population throughout reporting years</w:t>
            </w:r>
            <w:r w:rsidRPr="004C4E93">
              <w:t>, where only individuals with a pretest score that falls within a specified range (one or two standard deviations from the baseline pretest mean) are included in calculations</w:t>
            </w:r>
            <w:r>
              <w:t xml:space="preserve"> for</w:t>
            </w:r>
            <w:r w:rsidRPr="004C4E93">
              <w:t xml:space="preserve"> baseline, DY4, and DY5 reporting. Providers using a pretest score boundary must follow the instructions included in the “Reporting </w:t>
            </w:r>
            <w:r>
              <w:t>Guidelines for Pre and Postt</w:t>
            </w:r>
            <w:r w:rsidRPr="004C4E93">
              <w:t xml:space="preserve">est Tools” </w:t>
            </w:r>
            <w:r>
              <w:t xml:space="preserve">document located </w:t>
            </w:r>
            <w:r w:rsidRPr="008815CC">
              <w:t xml:space="preserve">on the </w:t>
            </w:r>
            <w:hyperlink r:id="rId15" w:history="1">
              <w:r w:rsidRPr="008815CC">
                <w:rPr>
                  <w:rStyle w:val="Hyperlink"/>
                </w:rPr>
                <w:t>Tools and Guidelines for Regional Healthcare Partnership Participants</w:t>
              </w:r>
            </w:hyperlink>
            <w:r w:rsidRPr="008815CC">
              <w:t xml:space="preserve"> page under Category 3.</w:t>
            </w:r>
          </w:p>
        </w:tc>
      </w:tr>
      <w:tr w:rsidR="005247C2" w:rsidRPr="00DD1C68" w:rsidTr="005247C2">
        <w:tc>
          <w:tcPr>
            <w:tcW w:w="2603" w:type="dxa"/>
          </w:tcPr>
          <w:p w:rsidR="005247C2" w:rsidRDefault="005247C2" w:rsidP="00A374B8">
            <w:pPr>
              <w:pStyle w:val="NoSpacing"/>
              <w:rPr>
                <w:rFonts w:cstheme="minorHAnsi"/>
                <w:b/>
              </w:rPr>
            </w:pPr>
            <w:r w:rsidRPr="00601154">
              <w:rPr>
                <w:b/>
              </w:rPr>
              <w:t>Reporting Survey Administration</w:t>
            </w:r>
          </w:p>
        </w:tc>
        <w:tc>
          <w:tcPr>
            <w:tcW w:w="6973" w:type="dxa"/>
          </w:tcPr>
          <w:p w:rsidR="005247C2" w:rsidRDefault="005247C2" w:rsidP="00FE333A">
            <w:pPr>
              <w:pStyle w:val="NoSpacing"/>
              <w:rPr>
                <w:rFonts w:cstheme="minorHAnsi"/>
              </w:rPr>
            </w:pPr>
            <w:r w:rsidRPr="004C4E93">
              <w:t>Providers will report details of their survey administration methodology and selected reporting scenario as supporting documentation submitted at baseline reporting. Providers will use the Sur</w:t>
            </w:r>
            <w:r>
              <w:t>vey Administration Form located</w:t>
            </w:r>
            <w:r w:rsidRPr="008815CC">
              <w:t xml:space="preserve"> on the </w:t>
            </w:r>
            <w:hyperlink r:id="rId16" w:history="1">
              <w:r w:rsidRPr="008815CC">
                <w:rPr>
                  <w:rStyle w:val="Hyperlink"/>
                </w:rPr>
                <w:t>Tools and Guidelines for Regional Healthcare Partnership Participants</w:t>
              </w:r>
            </w:hyperlink>
            <w:r w:rsidRPr="008815CC">
              <w:t xml:space="preserve"> page under Category 3.</w:t>
            </w:r>
          </w:p>
        </w:tc>
      </w:tr>
      <w:tr w:rsidR="00AF3F76" w:rsidRPr="00DD1C68" w:rsidTr="005247C2">
        <w:tc>
          <w:tcPr>
            <w:tcW w:w="2603" w:type="dxa"/>
          </w:tcPr>
          <w:p w:rsidR="00AF3F76" w:rsidRPr="00DD1C68" w:rsidRDefault="00AF3F76" w:rsidP="00A374B8">
            <w:pPr>
              <w:pStyle w:val="NoSpacing"/>
              <w:rPr>
                <w:rFonts w:cstheme="minorHAnsi"/>
                <w:b/>
              </w:rPr>
            </w:pPr>
            <w:r>
              <w:rPr>
                <w:rFonts w:cstheme="minorHAnsi"/>
                <w:b/>
              </w:rPr>
              <w:t>Additional Considerations for Providers</w:t>
            </w:r>
          </w:p>
        </w:tc>
        <w:tc>
          <w:tcPr>
            <w:tcW w:w="6973" w:type="dxa"/>
          </w:tcPr>
          <w:p w:rsidR="00AF3F76" w:rsidRDefault="002B5533" w:rsidP="00FE333A">
            <w:pPr>
              <w:pStyle w:val="NoSpacing"/>
              <w:rPr>
                <w:rFonts w:cstheme="minorHAnsi"/>
              </w:rPr>
            </w:pPr>
            <w:r>
              <w:rPr>
                <w:rFonts w:cstheme="minorHAnsi"/>
              </w:rPr>
              <w:t>The PedsQ</w:t>
            </w:r>
            <w:r w:rsidR="0082416D">
              <w:rPr>
                <w:rFonts w:cstheme="minorHAnsi"/>
              </w:rPr>
              <w:t>L is not affiliated with the AQoL (IT-10.1.a.i - iv)</w:t>
            </w:r>
          </w:p>
          <w:p w:rsidR="00685163" w:rsidRDefault="00685163" w:rsidP="00FE333A">
            <w:pPr>
              <w:pStyle w:val="NoSpacing"/>
              <w:rPr>
                <w:rFonts w:cstheme="minorHAnsi"/>
              </w:rPr>
            </w:pPr>
          </w:p>
          <w:p w:rsidR="00685163" w:rsidRDefault="00685163" w:rsidP="00FE333A">
            <w:pPr>
              <w:pStyle w:val="NoSpacing"/>
              <w:rPr>
                <w:rFonts w:cstheme="minorHAnsi"/>
              </w:rPr>
            </w:pPr>
            <w:r w:rsidRPr="00685163">
              <w:rPr>
                <w:rFonts w:cstheme="minorHAnsi"/>
              </w:rPr>
              <w:t>Providers should for follow survey administration, sampling, and scoring guidelines, unless a DSRIP specific modification has been noted. Surveys are validated in their entirety and providers should plan on using as specified by the survey developer.</w:t>
            </w:r>
          </w:p>
          <w:p w:rsidR="00685163" w:rsidRPr="00DD1C68" w:rsidRDefault="00685163" w:rsidP="00FE333A">
            <w:pPr>
              <w:pStyle w:val="NoSpacing"/>
              <w:rPr>
                <w:rFonts w:cstheme="minorHAnsi"/>
              </w:rPr>
            </w:pPr>
          </w:p>
        </w:tc>
      </w:tr>
      <w:tr w:rsidR="00DD1C68" w:rsidRPr="00DD1C68" w:rsidTr="005247C2">
        <w:tc>
          <w:tcPr>
            <w:tcW w:w="2603" w:type="dxa"/>
          </w:tcPr>
          <w:p w:rsidR="00DD1C68" w:rsidRPr="00DD1C68" w:rsidRDefault="00DD1C68" w:rsidP="00A374B8">
            <w:pPr>
              <w:pStyle w:val="NoSpacing"/>
              <w:rPr>
                <w:rFonts w:cstheme="minorHAnsi"/>
                <w:b/>
              </w:rPr>
            </w:pPr>
            <w:r w:rsidRPr="00DD1C68">
              <w:rPr>
                <w:rFonts w:cstheme="minorHAnsi"/>
                <w:b/>
              </w:rPr>
              <w:lastRenderedPageBreak/>
              <w:t>Data Source</w:t>
            </w:r>
          </w:p>
        </w:tc>
        <w:tc>
          <w:tcPr>
            <w:tcW w:w="6973" w:type="dxa"/>
          </w:tcPr>
          <w:p w:rsidR="00F90B8F" w:rsidRPr="00DD1C68" w:rsidRDefault="004F7605" w:rsidP="00FE333A">
            <w:pPr>
              <w:pStyle w:val="NoSpacing"/>
              <w:rPr>
                <w:rFonts w:cstheme="minorHAnsi"/>
              </w:rPr>
            </w:pPr>
            <w:r>
              <w:rPr>
                <w:rFonts w:cstheme="minorHAnsi"/>
              </w:rPr>
              <w:t>Survey report</w:t>
            </w:r>
          </w:p>
        </w:tc>
      </w:tr>
    </w:tbl>
    <w:p w:rsidR="00356CF4" w:rsidRPr="00DD1C68" w:rsidRDefault="00356CF4" w:rsidP="007C7C85">
      <w:pPr>
        <w:pStyle w:val="Heading2"/>
        <w:rPr>
          <w:rFonts w:asciiTheme="minorHAnsi" w:hAnsiTheme="minorHAnsi" w:cstheme="minorHAnsi"/>
          <w:sz w:val="22"/>
          <w:szCs w:val="22"/>
        </w:rPr>
      </w:pPr>
    </w:p>
    <w:sectPr w:rsidR="00356CF4" w:rsidRPr="00DD1C68">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395" w:rsidRDefault="007E0395" w:rsidP="00F63191">
      <w:pPr>
        <w:spacing w:after="0" w:line="240" w:lineRule="auto"/>
      </w:pPr>
      <w:r>
        <w:separator/>
      </w:r>
    </w:p>
  </w:endnote>
  <w:endnote w:type="continuationSeparator" w:id="0">
    <w:p w:rsidR="007E0395" w:rsidRDefault="007E0395" w:rsidP="00F63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7B1" w:rsidRDefault="008377B1">
    <w:pPr>
      <w:pStyle w:val="Footer"/>
    </w:pPr>
    <w:r>
      <w:t>09/30/14</w:t>
    </w:r>
  </w:p>
  <w:p w:rsidR="008377B1" w:rsidRDefault="008377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395" w:rsidRDefault="007E0395" w:rsidP="00F63191">
      <w:pPr>
        <w:spacing w:after="0" w:line="240" w:lineRule="auto"/>
      </w:pPr>
      <w:r>
        <w:separator/>
      </w:r>
    </w:p>
  </w:footnote>
  <w:footnote w:type="continuationSeparator" w:id="0">
    <w:p w:rsidR="007E0395" w:rsidRDefault="007E0395" w:rsidP="00F631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191" w:rsidRPr="00A36AF5" w:rsidRDefault="00F63191" w:rsidP="00F63191">
    <w:pPr>
      <w:pStyle w:val="Header"/>
      <w:jc w:val="right"/>
      <w:rPr>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74E01"/>
    <w:multiLevelType w:val="hybridMultilevel"/>
    <w:tmpl w:val="980A4E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A70CB4"/>
    <w:multiLevelType w:val="hybridMultilevel"/>
    <w:tmpl w:val="38DE0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CC2B61"/>
    <w:multiLevelType w:val="hybridMultilevel"/>
    <w:tmpl w:val="C4686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197CC7"/>
    <w:multiLevelType w:val="hybridMultilevel"/>
    <w:tmpl w:val="7E088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3B399C"/>
    <w:multiLevelType w:val="singleLevel"/>
    <w:tmpl w:val="1F42975E"/>
    <w:lvl w:ilvl="0">
      <w:start w:val="2"/>
      <w:numFmt w:val="decimal"/>
      <w:lvlText w:val="%1."/>
      <w:lvlJc w:val="left"/>
      <w:pPr>
        <w:tabs>
          <w:tab w:val="num" w:pos="360"/>
        </w:tabs>
        <w:ind w:left="360" w:hanging="360"/>
      </w:pPr>
      <w:rPr>
        <w:rFonts w:hint="default"/>
      </w:rPr>
    </w:lvl>
  </w:abstractNum>
  <w:abstractNum w:abstractNumId="5">
    <w:nsid w:val="19B736DD"/>
    <w:multiLevelType w:val="hybridMultilevel"/>
    <w:tmpl w:val="E34C5D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A57262"/>
    <w:multiLevelType w:val="hybridMultilevel"/>
    <w:tmpl w:val="EADE0A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28754E68"/>
    <w:multiLevelType w:val="hybridMultilevel"/>
    <w:tmpl w:val="27DA1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976A8C"/>
    <w:multiLevelType w:val="hybridMultilevel"/>
    <w:tmpl w:val="DF767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8E5838"/>
    <w:multiLevelType w:val="hybridMultilevel"/>
    <w:tmpl w:val="55B20C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41230B50"/>
    <w:multiLevelType w:val="hybridMultilevel"/>
    <w:tmpl w:val="4DE23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A31801"/>
    <w:multiLevelType w:val="hybridMultilevel"/>
    <w:tmpl w:val="09F2E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9C5372"/>
    <w:multiLevelType w:val="hybridMultilevel"/>
    <w:tmpl w:val="0EC87C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AC7387"/>
    <w:multiLevelType w:val="hybridMultilevel"/>
    <w:tmpl w:val="8B48E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B82C1A"/>
    <w:multiLevelType w:val="hybridMultilevel"/>
    <w:tmpl w:val="23467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252312"/>
    <w:multiLevelType w:val="hybridMultilevel"/>
    <w:tmpl w:val="489C2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14F54B8"/>
    <w:multiLevelType w:val="hybridMultilevel"/>
    <w:tmpl w:val="BA224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DC186A"/>
    <w:multiLevelType w:val="hybridMultilevel"/>
    <w:tmpl w:val="EE84C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CF37E71"/>
    <w:multiLevelType w:val="hybridMultilevel"/>
    <w:tmpl w:val="1D3E4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DD428C0"/>
    <w:multiLevelType w:val="hybridMultilevel"/>
    <w:tmpl w:val="F2067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46C213F"/>
    <w:multiLevelType w:val="hybridMultilevel"/>
    <w:tmpl w:val="6316AE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4"/>
  </w:num>
  <w:num w:numId="4">
    <w:abstractNumId w:val="13"/>
  </w:num>
  <w:num w:numId="5">
    <w:abstractNumId w:val="5"/>
  </w:num>
  <w:num w:numId="6">
    <w:abstractNumId w:val="10"/>
  </w:num>
  <w:num w:numId="7">
    <w:abstractNumId w:val="18"/>
  </w:num>
  <w:num w:numId="8">
    <w:abstractNumId w:val="11"/>
  </w:num>
  <w:num w:numId="9">
    <w:abstractNumId w:val="19"/>
  </w:num>
  <w:num w:numId="10">
    <w:abstractNumId w:val="15"/>
  </w:num>
  <w:num w:numId="11">
    <w:abstractNumId w:val="12"/>
  </w:num>
  <w:num w:numId="12">
    <w:abstractNumId w:val="0"/>
  </w:num>
  <w:num w:numId="13">
    <w:abstractNumId w:val="4"/>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7"/>
  </w:num>
  <w:num w:numId="18">
    <w:abstractNumId w:val="1"/>
  </w:num>
  <w:num w:numId="19">
    <w:abstractNumId w:val="20"/>
  </w:num>
  <w:num w:numId="20">
    <w:abstractNumId w:val="8"/>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06B"/>
    <w:rsid w:val="00015974"/>
    <w:rsid w:val="00053586"/>
    <w:rsid w:val="000D1199"/>
    <w:rsid w:val="000D28C2"/>
    <w:rsid w:val="000D5A2D"/>
    <w:rsid w:val="000E7EED"/>
    <w:rsid w:val="00100A2F"/>
    <w:rsid w:val="00107C1A"/>
    <w:rsid w:val="00110383"/>
    <w:rsid w:val="0011709A"/>
    <w:rsid w:val="00131C39"/>
    <w:rsid w:val="001401D3"/>
    <w:rsid w:val="00165D76"/>
    <w:rsid w:val="001B0C38"/>
    <w:rsid w:val="001D6BEA"/>
    <w:rsid w:val="001F581E"/>
    <w:rsid w:val="001F5BD5"/>
    <w:rsid w:val="00200395"/>
    <w:rsid w:val="00245754"/>
    <w:rsid w:val="0027019B"/>
    <w:rsid w:val="00271E53"/>
    <w:rsid w:val="00276232"/>
    <w:rsid w:val="002845C2"/>
    <w:rsid w:val="002B5533"/>
    <w:rsid w:val="002C293A"/>
    <w:rsid w:val="0032246B"/>
    <w:rsid w:val="00356CF4"/>
    <w:rsid w:val="00360299"/>
    <w:rsid w:val="00375652"/>
    <w:rsid w:val="00383516"/>
    <w:rsid w:val="003844DB"/>
    <w:rsid w:val="0038768B"/>
    <w:rsid w:val="00394755"/>
    <w:rsid w:val="003F4E8D"/>
    <w:rsid w:val="00416E44"/>
    <w:rsid w:val="004876A2"/>
    <w:rsid w:val="0049609C"/>
    <w:rsid w:val="004F7605"/>
    <w:rsid w:val="00502BE4"/>
    <w:rsid w:val="00506BC5"/>
    <w:rsid w:val="005247C2"/>
    <w:rsid w:val="0052689E"/>
    <w:rsid w:val="00536799"/>
    <w:rsid w:val="005802A0"/>
    <w:rsid w:val="005B6AE1"/>
    <w:rsid w:val="005B79DD"/>
    <w:rsid w:val="005C70A1"/>
    <w:rsid w:val="005D7BC7"/>
    <w:rsid w:val="005F4D43"/>
    <w:rsid w:val="00685163"/>
    <w:rsid w:val="00695CD1"/>
    <w:rsid w:val="006B32EF"/>
    <w:rsid w:val="006B694F"/>
    <w:rsid w:val="006C7F2E"/>
    <w:rsid w:val="00717371"/>
    <w:rsid w:val="00743628"/>
    <w:rsid w:val="00760D27"/>
    <w:rsid w:val="007B363B"/>
    <w:rsid w:val="007C728B"/>
    <w:rsid w:val="007C7C85"/>
    <w:rsid w:val="007E0395"/>
    <w:rsid w:val="007E70DD"/>
    <w:rsid w:val="007F1266"/>
    <w:rsid w:val="007F675B"/>
    <w:rsid w:val="007F7C07"/>
    <w:rsid w:val="008177EF"/>
    <w:rsid w:val="00823868"/>
    <w:rsid w:val="0082416D"/>
    <w:rsid w:val="00827557"/>
    <w:rsid w:val="008377B1"/>
    <w:rsid w:val="0088642E"/>
    <w:rsid w:val="00886E0E"/>
    <w:rsid w:val="008A5405"/>
    <w:rsid w:val="008D1A8E"/>
    <w:rsid w:val="008F249E"/>
    <w:rsid w:val="00905A29"/>
    <w:rsid w:val="00953EC0"/>
    <w:rsid w:val="00956F2B"/>
    <w:rsid w:val="00965A2A"/>
    <w:rsid w:val="00967948"/>
    <w:rsid w:val="00994A41"/>
    <w:rsid w:val="00996DD5"/>
    <w:rsid w:val="009C6EA3"/>
    <w:rsid w:val="009F7E66"/>
    <w:rsid w:val="00A11BD9"/>
    <w:rsid w:val="00A36AF5"/>
    <w:rsid w:val="00A82574"/>
    <w:rsid w:val="00AC3A97"/>
    <w:rsid w:val="00AD706B"/>
    <w:rsid w:val="00AF3F76"/>
    <w:rsid w:val="00B05CBF"/>
    <w:rsid w:val="00B20462"/>
    <w:rsid w:val="00B52FF9"/>
    <w:rsid w:val="00B546CF"/>
    <w:rsid w:val="00B65D92"/>
    <w:rsid w:val="00BA61F1"/>
    <w:rsid w:val="00BA7796"/>
    <w:rsid w:val="00BB5D37"/>
    <w:rsid w:val="00BC4643"/>
    <w:rsid w:val="00C01E6F"/>
    <w:rsid w:val="00C41631"/>
    <w:rsid w:val="00C74E62"/>
    <w:rsid w:val="00C86C48"/>
    <w:rsid w:val="00C9758A"/>
    <w:rsid w:val="00CA4C08"/>
    <w:rsid w:val="00CC28BC"/>
    <w:rsid w:val="00CD7069"/>
    <w:rsid w:val="00D1777E"/>
    <w:rsid w:val="00D63CD3"/>
    <w:rsid w:val="00DA1196"/>
    <w:rsid w:val="00DD1C68"/>
    <w:rsid w:val="00DE660A"/>
    <w:rsid w:val="00E02822"/>
    <w:rsid w:val="00E43145"/>
    <w:rsid w:val="00EE6C27"/>
    <w:rsid w:val="00EF333D"/>
    <w:rsid w:val="00F05C01"/>
    <w:rsid w:val="00F069C3"/>
    <w:rsid w:val="00F06C5E"/>
    <w:rsid w:val="00F63191"/>
    <w:rsid w:val="00F64CD1"/>
    <w:rsid w:val="00F76673"/>
    <w:rsid w:val="00F90B8F"/>
    <w:rsid w:val="00F927B0"/>
    <w:rsid w:val="00FE3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06B"/>
    <w:pPr>
      <w:spacing w:line="276" w:lineRule="auto"/>
    </w:pPr>
  </w:style>
  <w:style w:type="paragraph" w:styleId="Heading1">
    <w:name w:val="heading 1"/>
    <w:basedOn w:val="Normal"/>
    <w:next w:val="Normal"/>
    <w:link w:val="Heading1Char"/>
    <w:uiPriority w:val="9"/>
    <w:qFormat/>
    <w:rsid w:val="00AD70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D706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706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D706B"/>
    <w:rPr>
      <w:rFonts w:asciiTheme="majorHAnsi" w:eastAsiaTheme="majorEastAsia" w:hAnsiTheme="majorHAnsi" w:cstheme="majorBidi"/>
      <w:b/>
      <w:bCs/>
      <w:color w:val="4F81BD" w:themeColor="accent1"/>
      <w:sz w:val="26"/>
      <w:szCs w:val="26"/>
    </w:rPr>
  </w:style>
  <w:style w:type="paragraph" w:styleId="NoSpacing">
    <w:name w:val="No Spacing"/>
    <w:aliases w:val="Body"/>
    <w:uiPriority w:val="1"/>
    <w:qFormat/>
    <w:rsid w:val="00AD706B"/>
    <w:pPr>
      <w:spacing w:after="0"/>
    </w:pPr>
  </w:style>
  <w:style w:type="paragraph" w:styleId="Title">
    <w:name w:val="Title"/>
    <w:basedOn w:val="Normal"/>
    <w:next w:val="Normal"/>
    <w:link w:val="TitleChar"/>
    <w:uiPriority w:val="10"/>
    <w:qFormat/>
    <w:rsid w:val="00AD70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D706B"/>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AD706B"/>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D706B"/>
    <w:rPr>
      <w:color w:val="0000FF" w:themeColor="hyperlink"/>
      <w:u w:val="single"/>
    </w:rPr>
  </w:style>
  <w:style w:type="character" w:styleId="CommentReference">
    <w:name w:val="annotation reference"/>
    <w:basedOn w:val="DefaultParagraphFont"/>
    <w:uiPriority w:val="99"/>
    <w:semiHidden/>
    <w:unhideWhenUsed/>
    <w:rsid w:val="00AD706B"/>
    <w:rPr>
      <w:sz w:val="16"/>
      <w:szCs w:val="16"/>
    </w:rPr>
  </w:style>
  <w:style w:type="paragraph" w:styleId="CommentText">
    <w:name w:val="annotation text"/>
    <w:basedOn w:val="Normal"/>
    <w:link w:val="CommentTextChar"/>
    <w:uiPriority w:val="99"/>
    <w:semiHidden/>
    <w:unhideWhenUsed/>
    <w:rsid w:val="00AD706B"/>
    <w:pPr>
      <w:spacing w:line="240" w:lineRule="auto"/>
    </w:pPr>
    <w:rPr>
      <w:sz w:val="20"/>
      <w:szCs w:val="20"/>
    </w:rPr>
  </w:style>
  <w:style w:type="character" w:customStyle="1" w:styleId="CommentTextChar">
    <w:name w:val="Comment Text Char"/>
    <w:basedOn w:val="DefaultParagraphFont"/>
    <w:link w:val="CommentText"/>
    <w:uiPriority w:val="99"/>
    <w:semiHidden/>
    <w:rsid w:val="00AD706B"/>
    <w:rPr>
      <w:sz w:val="20"/>
      <w:szCs w:val="20"/>
    </w:rPr>
  </w:style>
  <w:style w:type="paragraph" w:styleId="BalloonText">
    <w:name w:val="Balloon Text"/>
    <w:basedOn w:val="Normal"/>
    <w:link w:val="BalloonTextChar"/>
    <w:uiPriority w:val="99"/>
    <w:semiHidden/>
    <w:unhideWhenUsed/>
    <w:rsid w:val="00AD7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06B"/>
    <w:rPr>
      <w:rFonts w:ascii="Tahoma" w:hAnsi="Tahoma" w:cs="Tahoma"/>
      <w:sz w:val="16"/>
      <w:szCs w:val="16"/>
    </w:rPr>
  </w:style>
  <w:style w:type="paragraph" w:styleId="Revision">
    <w:name w:val="Revision"/>
    <w:hidden/>
    <w:uiPriority w:val="99"/>
    <w:semiHidden/>
    <w:rsid w:val="00AD706B"/>
    <w:pPr>
      <w:spacing w:after="0"/>
    </w:pPr>
  </w:style>
  <w:style w:type="paragraph" w:styleId="CommentSubject">
    <w:name w:val="annotation subject"/>
    <w:basedOn w:val="CommentText"/>
    <w:next w:val="CommentText"/>
    <w:link w:val="CommentSubjectChar"/>
    <w:uiPriority w:val="99"/>
    <w:semiHidden/>
    <w:unhideWhenUsed/>
    <w:rsid w:val="00AD706B"/>
    <w:rPr>
      <w:b/>
      <w:bCs/>
    </w:rPr>
  </w:style>
  <w:style w:type="character" w:customStyle="1" w:styleId="CommentSubjectChar">
    <w:name w:val="Comment Subject Char"/>
    <w:basedOn w:val="CommentTextChar"/>
    <w:link w:val="CommentSubject"/>
    <w:uiPriority w:val="99"/>
    <w:semiHidden/>
    <w:rsid w:val="00AD706B"/>
    <w:rPr>
      <w:b/>
      <w:bCs/>
      <w:sz w:val="20"/>
      <w:szCs w:val="20"/>
    </w:rPr>
  </w:style>
  <w:style w:type="paragraph" w:styleId="Header">
    <w:name w:val="header"/>
    <w:basedOn w:val="Normal"/>
    <w:link w:val="HeaderChar"/>
    <w:uiPriority w:val="99"/>
    <w:unhideWhenUsed/>
    <w:rsid w:val="00F631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191"/>
  </w:style>
  <w:style w:type="paragraph" w:styleId="Footer">
    <w:name w:val="footer"/>
    <w:basedOn w:val="Normal"/>
    <w:link w:val="FooterChar"/>
    <w:uiPriority w:val="99"/>
    <w:unhideWhenUsed/>
    <w:rsid w:val="00F631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191"/>
  </w:style>
  <w:style w:type="paragraph" w:customStyle="1" w:styleId="Default">
    <w:name w:val="Default"/>
    <w:rsid w:val="001F581E"/>
    <w:pPr>
      <w:autoSpaceDE w:val="0"/>
      <w:autoSpaceDN w:val="0"/>
      <w:adjustRightInd w:val="0"/>
      <w:spacing w:after="0"/>
    </w:pPr>
    <w:rPr>
      <w:rFonts w:ascii="Times New Roman" w:eastAsia="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49609C"/>
    <w:rPr>
      <w:color w:val="800080" w:themeColor="followedHyperlink"/>
      <w:u w:val="single"/>
    </w:rPr>
  </w:style>
  <w:style w:type="paragraph" w:styleId="ListParagraph">
    <w:name w:val="List Paragraph"/>
    <w:basedOn w:val="Normal"/>
    <w:uiPriority w:val="34"/>
    <w:qFormat/>
    <w:rsid w:val="00F90B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06B"/>
    <w:pPr>
      <w:spacing w:line="276" w:lineRule="auto"/>
    </w:pPr>
  </w:style>
  <w:style w:type="paragraph" w:styleId="Heading1">
    <w:name w:val="heading 1"/>
    <w:basedOn w:val="Normal"/>
    <w:next w:val="Normal"/>
    <w:link w:val="Heading1Char"/>
    <w:uiPriority w:val="9"/>
    <w:qFormat/>
    <w:rsid w:val="00AD70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D706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706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D706B"/>
    <w:rPr>
      <w:rFonts w:asciiTheme="majorHAnsi" w:eastAsiaTheme="majorEastAsia" w:hAnsiTheme="majorHAnsi" w:cstheme="majorBidi"/>
      <w:b/>
      <w:bCs/>
      <w:color w:val="4F81BD" w:themeColor="accent1"/>
      <w:sz w:val="26"/>
      <w:szCs w:val="26"/>
    </w:rPr>
  </w:style>
  <w:style w:type="paragraph" w:styleId="NoSpacing">
    <w:name w:val="No Spacing"/>
    <w:aliases w:val="Body"/>
    <w:uiPriority w:val="1"/>
    <w:qFormat/>
    <w:rsid w:val="00AD706B"/>
    <w:pPr>
      <w:spacing w:after="0"/>
    </w:pPr>
  </w:style>
  <w:style w:type="paragraph" w:styleId="Title">
    <w:name w:val="Title"/>
    <w:basedOn w:val="Normal"/>
    <w:next w:val="Normal"/>
    <w:link w:val="TitleChar"/>
    <w:uiPriority w:val="10"/>
    <w:qFormat/>
    <w:rsid w:val="00AD70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D706B"/>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AD706B"/>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D706B"/>
    <w:rPr>
      <w:color w:val="0000FF" w:themeColor="hyperlink"/>
      <w:u w:val="single"/>
    </w:rPr>
  </w:style>
  <w:style w:type="character" w:styleId="CommentReference">
    <w:name w:val="annotation reference"/>
    <w:basedOn w:val="DefaultParagraphFont"/>
    <w:uiPriority w:val="99"/>
    <w:semiHidden/>
    <w:unhideWhenUsed/>
    <w:rsid w:val="00AD706B"/>
    <w:rPr>
      <w:sz w:val="16"/>
      <w:szCs w:val="16"/>
    </w:rPr>
  </w:style>
  <w:style w:type="paragraph" w:styleId="CommentText">
    <w:name w:val="annotation text"/>
    <w:basedOn w:val="Normal"/>
    <w:link w:val="CommentTextChar"/>
    <w:uiPriority w:val="99"/>
    <w:semiHidden/>
    <w:unhideWhenUsed/>
    <w:rsid w:val="00AD706B"/>
    <w:pPr>
      <w:spacing w:line="240" w:lineRule="auto"/>
    </w:pPr>
    <w:rPr>
      <w:sz w:val="20"/>
      <w:szCs w:val="20"/>
    </w:rPr>
  </w:style>
  <w:style w:type="character" w:customStyle="1" w:styleId="CommentTextChar">
    <w:name w:val="Comment Text Char"/>
    <w:basedOn w:val="DefaultParagraphFont"/>
    <w:link w:val="CommentText"/>
    <w:uiPriority w:val="99"/>
    <w:semiHidden/>
    <w:rsid w:val="00AD706B"/>
    <w:rPr>
      <w:sz w:val="20"/>
      <w:szCs w:val="20"/>
    </w:rPr>
  </w:style>
  <w:style w:type="paragraph" w:styleId="BalloonText">
    <w:name w:val="Balloon Text"/>
    <w:basedOn w:val="Normal"/>
    <w:link w:val="BalloonTextChar"/>
    <w:uiPriority w:val="99"/>
    <w:semiHidden/>
    <w:unhideWhenUsed/>
    <w:rsid w:val="00AD7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06B"/>
    <w:rPr>
      <w:rFonts w:ascii="Tahoma" w:hAnsi="Tahoma" w:cs="Tahoma"/>
      <w:sz w:val="16"/>
      <w:szCs w:val="16"/>
    </w:rPr>
  </w:style>
  <w:style w:type="paragraph" w:styleId="Revision">
    <w:name w:val="Revision"/>
    <w:hidden/>
    <w:uiPriority w:val="99"/>
    <w:semiHidden/>
    <w:rsid w:val="00AD706B"/>
    <w:pPr>
      <w:spacing w:after="0"/>
    </w:pPr>
  </w:style>
  <w:style w:type="paragraph" w:styleId="CommentSubject">
    <w:name w:val="annotation subject"/>
    <w:basedOn w:val="CommentText"/>
    <w:next w:val="CommentText"/>
    <w:link w:val="CommentSubjectChar"/>
    <w:uiPriority w:val="99"/>
    <w:semiHidden/>
    <w:unhideWhenUsed/>
    <w:rsid w:val="00AD706B"/>
    <w:rPr>
      <w:b/>
      <w:bCs/>
    </w:rPr>
  </w:style>
  <w:style w:type="character" w:customStyle="1" w:styleId="CommentSubjectChar">
    <w:name w:val="Comment Subject Char"/>
    <w:basedOn w:val="CommentTextChar"/>
    <w:link w:val="CommentSubject"/>
    <w:uiPriority w:val="99"/>
    <w:semiHidden/>
    <w:rsid w:val="00AD706B"/>
    <w:rPr>
      <w:b/>
      <w:bCs/>
      <w:sz w:val="20"/>
      <w:szCs w:val="20"/>
    </w:rPr>
  </w:style>
  <w:style w:type="paragraph" w:styleId="Header">
    <w:name w:val="header"/>
    <w:basedOn w:val="Normal"/>
    <w:link w:val="HeaderChar"/>
    <w:uiPriority w:val="99"/>
    <w:unhideWhenUsed/>
    <w:rsid w:val="00F631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191"/>
  </w:style>
  <w:style w:type="paragraph" w:styleId="Footer">
    <w:name w:val="footer"/>
    <w:basedOn w:val="Normal"/>
    <w:link w:val="FooterChar"/>
    <w:uiPriority w:val="99"/>
    <w:unhideWhenUsed/>
    <w:rsid w:val="00F631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191"/>
  </w:style>
  <w:style w:type="paragraph" w:customStyle="1" w:styleId="Default">
    <w:name w:val="Default"/>
    <w:rsid w:val="001F581E"/>
    <w:pPr>
      <w:autoSpaceDE w:val="0"/>
      <w:autoSpaceDN w:val="0"/>
      <w:adjustRightInd w:val="0"/>
      <w:spacing w:after="0"/>
    </w:pPr>
    <w:rPr>
      <w:rFonts w:ascii="Times New Roman" w:eastAsia="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49609C"/>
    <w:rPr>
      <w:color w:val="800080" w:themeColor="followedHyperlink"/>
      <w:u w:val="single"/>
    </w:rPr>
  </w:style>
  <w:style w:type="paragraph" w:styleId="ListParagraph">
    <w:name w:val="List Paragraph"/>
    <w:basedOn w:val="Normal"/>
    <w:uiPriority w:val="34"/>
    <w:qFormat/>
    <w:rsid w:val="00F90B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09683">
      <w:bodyDiv w:val="1"/>
      <w:marLeft w:val="0"/>
      <w:marRight w:val="0"/>
      <w:marTop w:val="0"/>
      <w:marBottom w:val="0"/>
      <w:divBdr>
        <w:top w:val="none" w:sz="0" w:space="0" w:color="auto"/>
        <w:left w:val="none" w:sz="0" w:space="0" w:color="auto"/>
        <w:bottom w:val="none" w:sz="0" w:space="0" w:color="auto"/>
        <w:right w:val="none" w:sz="0" w:space="0" w:color="auto"/>
      </w:divBdr>
    </w:div>
    <w:div w:id="612640044">
      <w:bodyDiv w:val="1"/>
      <w:marLeft w:val="0"/>
      <w:marRight w:val="0"/>
      <w:marTop w:val="0"/>
      <w:marBottom w:val="0"/>
      <w:divBdr>
        <w:top w:val="none" w:sz="0" w:space="0" w:color="auto"/>
        <w:left w:val="none" w:sz="0" w:space="0" w:color="auto"/>
        <w:bottom w:val="none" w:sz="0" w:space="0" w:color="auto"/>
        <w:right w:val="none" w:sz="0" w:space="0" w:color="auto"/>
      </w:divBdr>
    </w:div>
    <w:div w:id="1226406793">
      <w:bodyDiv w:val="1"/>
      <w:marLeft w:val="0"/>
      <w:marRight w:val="0"/>
      <w:marTop w:val="0"/>
      <w:marBottom w:val="0"/>
      <w:divBdr>
        <w:top w:val="none" w:sz="0" w:space="0" w:color="auto"/>
        <w:left w:val="none" w:sz="0" w:space="0" w:color="auto"/>
        <w:bottom w:val="none" w:sz="0" w:space="0" w:color="auto"/>
        <w:right w:val="none" w:sz="0" w:space="0" w:color="auto"/>
      </w:divBdr>
    </w:div>
    <w:div w:id="1640063360">
      <w:bodyDiv w:val="1"/>
      <w:marLeft w:val="0"/>
      <w:marRight w:val="0"/>
      <w:marTop w:val="0"/>
      <w:marBottom w:val="0"/>
      <w:divBdr>
        <w:top w:val="none" w:sz="0" w:space="0" w:color="auto"/>
        <w:left w:val="none" w:sz="0" w:space="0" w:color="auto"/>
        <w:bottom w:val="none" w:sz="0" w:space="0" w:color="auto"/>
        <w:right w:val="none" w:sz="0" w:space="0" w:color="auto"/>
      </w:divBdr>
    </w:div>
    <w:div w:id="2137409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edsql.org/PedsQLguidelines.doc"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hhsc.state.tx.us/1115-Waiver-Guideline.s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hhsc.state.tx.us/1115-Waiver-Guideline.s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edsql.org/pedsql13.html" TargetMode="External"/><Relationship Id="rId5" Type="http://schemas.openxmlformats.org/officeDocument/2006/relationships/settings" Target="settings.xml"/><Relationship Id="rId15" Type="http://schemas.openxmlformats.org/officeDocument/2006/relationships/hyperlink" Target="http://www.hhsc.state.tx.us/1115-Waiver-Guideline.shtml" TargetMode="External"/><Relationship Id="rId10" Type="http://schemas.openxmlformats.org/officeDocument/2006/relationships/hyperlink" Target="http://www.pedsql.org/"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mailto:PROinformation@mapi-tru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83395-C654-4FFC-9182-22CEAC058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1982</Words>
  <Characters>11300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HHSC</Company>
  <LinksUpToDate>false</LinksUpToDate>
  <CharactersWithSpaces>13256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Woodard,Jennifer (HHSC)</dc:creator>
  <cp:lastModifiedBy>Windows User</cp:lastModifiedBy>
  <cp:revision>2</cp:revision>
  <dcterms:created xsi:type="dcterms:W3CDTF">2014-09-30T20:37:00Z</dcterms:created>
  <dcterms:modified xsi:type="dcterms:W3CDTF">2014-09-30T20:37:00Z</dcterms:modified>
</cp:coreProperties>
</file>