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D73B2" w14:textId="3ED08419" w:rsidR="00AD706B" w:rsidRDefault="00AD706B" w:rsidP="00AD706B">
      <w:pPr>
        <w:pStyle w:val="Heading1"/>
      </w:pPr>
      <w:r>
        <w:t>IT-</w:t>
      </w:r>
      <w:r w:rsidR="00462EC7">
        <w:t>1.8</w:t>
      </w:r>
      <w:r>
        <w:t xml:space="preserve">:  </w:t>
      </w:r>
      <w:r w:rsidR="00462EC7" w:rsidRPr="00462EC7">
        <w:t>Depression management: Screening and Treatment Plan for Clinical Depression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6768"/>
      </w:tblGrid>
      <w:tr w:rsidR="00AD706B" w14:paraId="780D73B5" w14:textId="77777777" w:rsidTr="001B3CF3">
        <w:trPr>
          <w:tblHeader/>
        </w:trPr>
        <w:tc>
          <w:tcPr>
            <w:tcW w:w="2808" w:type="dxa"/>
            <w:shd w:val="clear" w:color="auto" w:fill="F2F2F2" w:themeFill="background1" w:themeFillShade="F2"/>
          </w:tcPr>
          <w:p w14:paraId="780D73B3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768" w:type="dxa"/>
            <w:shd w:val="clear" w:color="auto" w:fill="F2F2F2" w:themeFill="background1" w:themeFillShade="F2"/>
          </w:tcPr>
          <w:p w14:paraId="780D73B4" w14:textId="45C89263" w:rsidR="00AD706B" w:rsidRPr="008779F5" w:rsidRDefault="006A4C2B" w:rsidP="00B05CB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IT-1.8 </w:t>
            </w:r>
            <w:r w:rsidR="00C05C03" w:rsidRPr="00C05C03">
              <w:rPr>
                <w:b/>
              </w:rPr>
              <w:t>Screening for Clinical Depression and Follow-Up Plan</w:t>
            </w:r>
          </w:p>
        </w:tc>
      </w:tr>
      <w:tr w:rsidR="00AD706B" w14:paraId="780D73B8" w14:textId="77777777" w:rsidTr="001B3CF3">
        <w:tc>
          <w:tcPr>
            <w:tcW w:w="2808" w:type="dxa"/>
          </w:tcPr>
          <w:p w14:paraId="780D73B6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768" w:type="dxa"/>
          </w:tcPr>
          <w:p w14:paraId="780D73B7" w14:textId="4A80B97E" w:rsidR="00AD706B" w:rsidRDefault="00C05C03" w:rsidP="00B05CBF">
            <w:pPr>
              <w:pStyle w:val="NoSpacing"/>
            </w:pPr>
            <w:r w:rsidRPr="00C05C03">
              <w:t>Percentage of patients aged 18 years and older screened for clinical depression using a standardized tool AND follow-up plan documented</w:t>
            </w:r>
          </w:p>
        </w:tc>
      </w:tr>
      <w:tr w:rsidR="00AD706B" w14:paraId="780D73BB" w14:textId="77777777" w:rsidTr="001B3CF3">
        <w:tc>
          <w:tcPr>
            <w:tcW w:w="2808" w:type="dxa"/>
          </w:tcPr>
          <w:p w14:paraId="780D73B9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768" w:type="dxa"/>
          </w:tcPr>
          <w:p w14:paraId="780D73BA" w14:textId="64D544A9" w:rsidR="00AD706B" w:rsidRDefault="00DC0222" w:rsidP="00B05CBF">
            <w:pPr>
              <w:pStyle w:val="NoSpacing"/>
            </w:pPr>
            <w:r>
              <w:t>0418</w:t>
            </w:r>
          </w:p>
        </w:tc>
      </w:tr>
      <w:tr w:rsidR="00AD706B" w14:paraId="780D73BE" w14:textId="77777777" w:rsidTr="001B3CF3">
        <w:tc>
          <w:tcPr>
            <w:tcW w:w="2808" w:type="dxa"/>
          </w:tcPr>
          <w:p w14:paraId="780D73BC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768" w:type="dxa"/>
          </w:tcPr>
          <w:p w14:paraId="780D73BD" w14:textId="6DFFFF5C" w:rsidR="00AD706B" w:rsidRPr="00631E85" w:rsidRDefault="00C05C03" w:rsidP="00A374B8">
            <w:pPr>
              <w:pStyle w:val="NoSpacing"/>
            </w:pPr>
            <w:r w:rsidRPr="00C05C03">
              <w:t>2011 Physicia</w:t>
            </w:r>
            <w:r>
              <w:t>n Quality Reporting System</w:t>
            </w:r>
            <w:r w:rsidR="00075CF7">
              <w:t xml:space="preserve"> (measure #134)</w:t>
            </w:r>
          </w:p>
        </w:tc>
      </w:tr>
      <w:tr w:rsidR="00AD706B" w14:paraId="780D73C1" w14:textId="77777777" w:rsidTr="001B3CF3">
        <w:tc>
          <w:tcPr>
            <w:tcW w:w="2808" w:type="dxa"/>
          </w:tcPr>
          <w:p w14:paraId="780D73BF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768" w:type="dxa"/>
          </w:tcPr>
          <w:p w14:paraId="780D73C0" w14:textId="4AC64D99" w:rsidR="00AD706B" w:rsidRPr="00631E85" w:rsidRDefault="00156539" w:rsidP="00561D6D">
            <w:pPr>
              <w:pStyle w:val="NoSpacing"/>
            </w:pPr>
            <w:hyperlink r:id="rId12" w:history="1">
              <w:r w:rsidR="00C05C03" w:rsidRPr="00AA27DD">
                <w:rPr>
                  <w:rStyle w:val="Hyperlink"/>
                </w:rPr>
                <w:t>http://www.cms.gov/Medicare/Quality-Initiatives-Patient-Assessment-Instruments/PQRS/downloads/2011_physqualrptg_measurespecificationsmanual_033111.pdf</w:t>
              </w:r>
            </w:hyperlink>
            <w:r w:rsidR="00C05C03">
              <w:t xml:space="preserve"> </w:t>
            </w:r>
          </w:p>
        </w:tc>
      </w:tr>
      <w:tr w:rsidR="00AD706B" w14:paraId="780D73C4" w14:textId="77777777" w:rsidTr="001B3CF3">
        <w:tc>
          <w:tcPr>
            <w:tcW w:w="2808" w:type="dxa"/>
          </w:tcPr>
          <w:p w14:paraId="780D73C2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768" w:type="dxa"/>
          </w:tcPr>
          <w:p w14:paraId="780D73C3" w14:textId="6C0E1458" w:rsidR="00AD706B" w:rsidRDefault="00075CF7" w:rsidP="00AD706B">
            <w:pPr>
              <w:pStyle w:val="NoSpacing"/>
            </w:pPr>
            <w:r>
              <w:t>Non Stand-Alone (</w:t>
            </w:r>
            <w:r w:rsidR="00C05C03">
              <w:t>NSA</w:t>
            </w:r>
            <w:r>
              <w:t>)</w:t>
            </w:r>
          </w:p>
        </w:tc>
      </w:tr>
      <w:tr w:rsidR="006A4C2B" w14:paraId="780D73C7" w14:textId="77777777" w:rsidTr="001B3CF3">
        <w:tc>
          <w:tcPr>
            <w:tcW w:w="2808" w:type="dxa"/>
          </w:tcPr>
          <w:p w14:paraId="780D73C5" w14:textId="692A2079" w:rsidR="006A4C2B" w:rsidRDefault="006A4C2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Performance and Achievement Type </w:t>
            </w:r>
          </w:p>
        </w:tc>
        <w:tc>
          <w:tcPr>
            <w:tcW w:w="6768" w:type="dxa"/>
          </w:tcPr>
          <w:p w14:paraId="1A4C5929" w14:textId="77777777" w:rsidR="006A4C2B" w:rsidRDefault="006A4C2B" w:rsidP="00283705">
            <w:pPr>
              <w:pStyle w:val="NoSpacing"/>
            </w:pPr>
            <w:r>
              <w:t>Pay for Performance (P4P) – Improvement Over Self (IOS)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09"/>
              <w:gridCol w:w="2209"/>
              <w:gridCol w:w="2209"/>
            </w:tblGrid>
            <w:tr w:rsidR="006A4C2B" w:rsidRPr="008331B0" w14:paraId="6C600D3C" w14:textId="77777777" w:rsidTr="00283705">
              <w:tc>
                <w:tcPr>
                  <w:tcW w:w="2209" w:type="dxa"/>
                </w:tcPr>
                <w:p w14:paraId="7E05287F" w14:textId="77777777" w:rsidR="006A4C2B" w:rsidRPr="008331B0" w:rsidRDefault="006A4C2B" w:rsidP="00283705">
                  <w:pPr>
                    <w:pStyle w:val="NoSpacing"/>
                  </w:pPr>
                </w:p>
              </w:tc>
              <w:tc>
                <w:tcPr>
                  <w:tcW w:w="2209" w:type="dxa"/>
                </w:tcPr>
                <w:p w14:paraId="26EF8F97" w14:textId="77777777" w:rsidR="006A4C2B" w:rsidRPr="008331B0" w:rsidRDefault="006A4C2B" w:rsidP="00283705">
                  <w:pPr>
                    <w:pStyle w:val="NoSpacing"/>
                    <w:jc w:val="center"/>
                  </w:pPr>
                  <w:r w:rsidRPr="008331B0">
                    <w:t>DY4</w:t>
                  </w:r>
                </w:p>
                <w:p w14:paraId="4F646CA5" w14:textId="77777777" w:rsidR="006A4C2B" w:rsidRPr="008331B0" w:rsidRDefault="006A4C2B" w:rsidP="00283705">
                  <w:pPr>
                    <w:pStyle w:val="NoSpacing"/>
                    <w:jc w:val="center"/>
                  </w:pPr>
                </w:p>
              </w:tc>
              <w:tc>
                <w:tcPr>
                  <w:tcW w:w="2209" w:type="dxa"/>
                </w:tcPr>
                <w:p w14:paraId="5AA8D925" w14:textId="77777777" w:rsidR="006A4C2B" w:rsidRPr="008331B0" w:rsidRDefault="006A4C2B" w:rsidP="00283705">
                  <w:pPr>
                    <w:pStyle w:val="NoSpacing"/>
                    <w:jc w:val="center"/>
                  </w:pPr>
                  <w:r w:rsidRPr="008331B0">
                    <w:t>DY5</w:t>
                  </w:r>
                </w:p>
                <w:p w14:paraId="1A9F4D2A" w14:textId="77777777" w:rsidR="006A4C2B" w:rsidRPr="008331B0" w:rsidRDefault="006A4C2B" w:rsidP="00283705">
                  <w:pPr>
                    <w:pStyle w:val="NoSpacing"/>
                    <w:jc w:val="center"/>
                  </w:pPr>
                </w:p>
              </w:tc>
            </w:tr>
            <w:tr w:rsidR="006A4C2B" w:rsidRPr="008331B0" w14:paraId="09720FFA" w14:textId="77777777" w:rsidTr="00283705">
              <w:tc>
                <w:tcPr>
                  <w:tcW w:w="2209" w:type="dxa"/>
                </w:tcPr>
                <w:p w14:paraId="3BE8B3DA" w14:textId="55B40B43" w:rsidR="006A4C2B" w:rsidRPr="008331B0" w:rsidRDefault="006A4C2B" w:rsidP="00283705">
                  <w:pPr>
                    <w:pStyle w:val="NoSpacing"/>
                    <w:jc w:val="center"/>
                  </w:pPr>
                  <w:r>
                    <w:t xml:space="preserve">Achievement Level </w:t>
                  </w:r>
                  <w:r w:rsidR="00156539">
                    <w:t xml:space="preserve">/Goal </w:t>
                  </w:r>
                  <w:r>
                    <w:t>Calculation</w:t>
                  </w:r>
                </w:p>
              </w:tc>
              <w:tc>
                <w:tcPr>
                  <w:tcW w:w="2209" w:type="dxa"/>
                </w:tcPr>
                <w:p w14:paraId="4F0022EF" w14:textId="77777777" w:rsidR="006A4C2B" w:rsidRDefault="006A4C2B" w:rsidP="00283705">
                  <w:pPr>
                    <w:pStyle w:val="NoSpacing"/>
                    <w:jc w:val="center"/>
                  </w:pPr>
                  <w:r w:rsidRPr="006A4C2B">
                    <w:t xml:space="preserve">Baseline + 5% *(performance gap) </w:t>
                  </w:r>
                </w:p>
                <w:p w14:paraId="3510AABD" w14:textId="77777777" w:rsidR="006A4C2B" w:rsidRDefault="006A4C2B" w:rsidP="00283705">
                  <w:pPr>
                    <w:pStyle w:val="NoSpacing"/>
                    <w:jc w:val="center"/>
                  </w:pPr>
                  <w:r w:rsidRPr="006A4C2B">
                    <w:t xml:space="preserve">= </w:t>
                  </w:r>
                </w:p>
                <w:p w14:paraId="6948922D" w14:textId="5B72E6DB" w:rsidR="006A4C2B" w:rsidRPr="008331B0" w:rsidRDefault="006A4C2B" w:rsidP="00283705">
                  <w:pPr>
                    <w:pStyle w:val="NoSpacing"/>
                    <w:jc w:val="center"/>
                  </w:pPr>
                  <w:r w:rsidRPr="006A4C2B">
                    <w:t>Baseline + 5% *(100% – baseline rate)</w:t>
                  </w:r>
                </w:p>
              </w:tc>
              <w:tc>
                <w:tcPr>
                  <w:tcW w:w="2209" w:type="dxa"/>
                </w:tcPr>
                <w:p w14:paraId="302A190D" w14:textId="77777777" w:rsidR="006A4C2B" w:rsidRDefault="006A4C2B" w:rsidP="00283705">
                  <w:pPr>
                    <w:pStyle w:val="NoSpacing"/>
                    <w:jc w:val="center"/>
                  </w:pPr>
                  <w:r w:rsidRPr="006A4C2B">
                    <w:t xml:space="preserve">Baseline + 10% *(performance gap) </w:t>
                  </w:r>
                </w:p>
                <w:p w14:paraId="29B857C0" w14:textId="77777777" w:rsidR="006A4C2B" w:rsidRDefault="006A4C2B" w:rsidP="00283705">
                  <w:pPr>
                    <w:pStyle w:val="NoSpacing"/>
                    <w:jc w:val="center"/>
                  </w:pPr>
                  <w:r w:rsidRPr="006A4C2B">
                    <w:t>=</w:t>
                  </w:r>
                </w:p>
                <w:p w14:paraId="201CBC57" w14:textId="68C550AF" w:rsidR="006A4C2B" w:rsidRPr="008331B0" w:rsidRDefault="006A4C2B" w:rsidP="00283705">
                  <w:pPr>
                    <w:pStyle w:val="NoSpacing"/>
                    <w:jc w:val="center"/>
                  </w:pPr>
                  <w:r w:rsidRPr="006A4C2B">
                    <w:t>Baseline + 10% *(100% – baseline rate)</w:t>
                  </w:r>
                </w:p>
              </w:tc>
            </w:tr>
          </w:tbl>
          <w:p w14:paraId="780D73C6" w14:textId="102C9EDF" w:rsidR="006A4C2B" w:rsidRDefault="006A4C2B" w:rsidP="00116208">
            <w:pPr>
              <w:pStyle w:val="NoSpacing"/>
            </w:pPr>
          </w:p>
        </w:tc>
      </w:tr>
      <w:tr w:rsidR="00AD706B" w14:paraId="780D73D0" w14:textId="77777777" w:rsidTr="001B3CF3">
        <w:tc>
          <w:tcPr>
            <w:tcW w:w="2808" w:type="dxa"/>
          </w:tcPr>
          <w:p w14:paraId="780D73C8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768" w:type="dxa"/>
          </w:tcPr>
          <w:p w14:paraId="780D73CF" w14:textId="23B55362" w:rsidR="009F78A7" w:rsidRDefault="00DC0222" w:rsidP="00817101">
            <w:pPr>
              <w:pStyle w:val="NoSpacing"/>
            </w:pPr>
            <w:r>
              <w:t xml:space="preserve"> None</w:t>
            </w:r>
            <w:bookmarkStart w:id="0" w:name="_GoBack"/>
            <w:bookmarkEnd w:id="0"/>
          </w:p>
        </w:tc>
      </w:tr>
      <w:tr w:rsidR="00AD706B" w14:paraId="780D73D3" w14:textId="77777777" w:rsidTr="001B3CF3">
        <w:tc>
          <w:tcPr>
            <w:tcW w:w="2808" w:type="dxa"/>
          </w:tcPr>
          <w:p w14:paraId="780D73D1" w14:textId="77777777"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768" w:type="dxa"/>
          </w:tcPr>
          <w:p w14:paraId="780D73D2" w14:textId="15E39396" w:rsidR="00AD706B" w:rsidRPr="009F7E66" w:rsidRDefault="00C05C03" w:rsidP="001D6BEA">
            <w:pPr>
              <w:pStyle w:val="NoSpacing"/>
            </w:pPr>
            <w:r w:rsidRPr="00C05C03">
              <w:t>All patients aged 18 years and older</w:t>
            </w:r>
          </w:p>
        </w:tc>
      </w:tr>
      <w:tr w:rsidR="00787D45" w14:paraId="780D73D6" w14:textId="77777777" w:rsidTr="001B3CF3">
        <w:trPr>
          <w:trHeight w:val="728"/>
        </w:trPr>
        <w:tc>
          <w:tcPr>
            <w:tcW w:w="2808" w:type="dxa"/>
          </w:tcPr>
          <w:p w14:paraId="780D73D4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768" w:type="dxa"/>
          </w:tcPr>
          <w:p w14:paraId="147E8A8F" w14:textId="01207EE7" w:rsidR="00C05C03" w:rsidRDefault="00C05C03" w:rsidP="00C05C03">
            <w:pPr>
              <w:pStyle w:val="NoSpacing"/>
            </w:pPr>
            <w:r>
              <w:t>Patients aged ≥ 18 years on date of encounter</w:t>
            </w:r>
            <w:r w:rsidR="006A4C2B">
              <w:t xml:space="preserve">, </w:t>
            </w:r>
            <w:r>
              <w:t>AND</w:t>
            </w:r>
          </w:p>
          <w:p w14:paraId="780D73D5" w14:textId="150AA48F" w:rsidR="00787D45" w:rsidRPr="0012650D" w:rsidRDefault="00C05C03" w:rsidP="00C05C03">
            <w:pPr>
              <w:pStyle w:val="NoSpacing"/>
              <w:rPr>
                <w:b/>
              </w:rPr>
            </w:pPr>
            <w:r>
              <w:t>Patient encounter during the reporting period (CPT): 90801, 90802, 90804, 90805, 90806, 90807, 90808, 90809, 92557, 92567, 92568, 92590, 92625, 92626, 96150, 96151, 97003</w:t>
            </w:r>
          </w:p>
        </w:tc>
      </w:tr>
      <w:tr w:rsidR="00787D45" w14:paraId="780D73D9" w14:textId="77777777" w:rsidTr="001B3CF3">
        <w:trPr>
          <w:trHeight w:val="710"/>
        </w:trPr>
        <w:tc>
          <w:tcPr>
            <w:tcW w:w="2808" w:type="dxa"/>
          </w:tcPr>
          <w:p w14:paraId="780D73D7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6768" w:type="dxa"/>
          </w:tcPr>
          <w:p w14:paraId="786927F3" w14:textId="214EB24C" w:rsidR="00817101" w:rsidRPr="00817101" w:rsidRDefault="00DC0222" w:rsidP="00817101">
            <w:pPr>
              <w:shd w:val="clear" w:color="auto" w:fill="FFFFFF"/>
              <w:spacing w:line="300" w:lineRule="atLeast"/>
              <w:textAlignment w:val="top"/>
              <w:rPr>
                <w:b/>
              </w:rPr>
            </w:pPr>
            <w:r w:rsidRPr="00817101">
              <w:rPr>
                <w:b/>
              </w:rPr>
              <w:t>A patient is not eligible if one or more of the following conditions exist:</w:t>
            </w:r>
          </w:p>
          <w:p w14:paraId="24663692" w14:textId="77777777" w:rsidR="006A4C2B" w:rsidRDefault="00DC0222" w:rsidP="001B3CF3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line="300" w:lineRule="atLeast"/>
              <w:textAlignment w:val="top"/>
            </w:pPr>
            <w:r w:rsidRPr="00817101">
              <w:t>Patient refuses to participate</w:t>
            </w:r>
          </w:p>
          <w:p w14:paraId="6E75F039" w14:textId="56B1125F" w:rsidR="006A4C2B" w:rsidRDefault="00DC0222" w:rsidP="001B3CF3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line="300" w:lineRule="atLeast"/>
              <w:textAlignment w:val="top"/>
            </w:pPr>
            <w:r w:rsidRPr="00817101">
              <w:t>Patient is in an urgent or emergent situation where time is of the essence and to delay treatment would jeopardize the patient’s health status</w:t>
            </w:r>
          </w:p>
          <w:p w14:paraId="009064E9" w14:textId="621AB807" w:rsidR="006A4C2B" w:rsidRDefault="00DC0222" w:rsidP="001B3CF3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line="300" w:lineRule="atLeast"/>
              <w:textAlignment w:val="top"/>
            </w:pPr>
            <w:r w:rsidRPr="00817101">
              <w:t>Situations where the patient’s motivation to improve may impact the accuracy of results of nationally recognized standardized depression assessment tools. For example: certain court appointed cases</w:t>
            </w:r>
          </w:p>
          <w:p w14:paraId="3177DE4B" w14:textId="3612D0F7" w:rsidR="006A4C2B" w:rsidRDefault="00DC0222" w:rsidP="001B3CF3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line="300" w:lineRule="atLeast"/>
              <w:textAlignment w:val="top"/>
            </w:pPr>
            <w:r w:rsidRPr="00817101">
              <w:t>Patient was referred with a diagnosis of depression</w:t>
            </w:r>
          </w:p>
          <w:p w14:paraId="7C5ADC63" w14:textId="0AE76734" w:rsidR="006A4C2B" w:rsidRDefault="00DC0222" w:rsidP="001B3CF3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line="300" w:lineRule="atLeast"/>
              <w:textAlignment w:val="top"/>
            </w:pPr>
            <w:r w:rsidRPr="00817101">
              <w:t>Patient has been participating in ongoing treatment with screening of clinical depression in a preceding reporting period</w:t>
            </w:r>
          </w:p>
          <w:p w14:paraId="780D73D8" w14:textId="6A6EF6B4" w:rsidR="00787D45" w:rsidRPr="001D6BEA" w:rsidRDefault="00DC0222" w:rsidP="001B3CF3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line="300" w:lineRule="atLeast"/>
              <w:textAlignment w:val="top"/>
            </w:pPr>
            <w:r w:rsidRPr="00817101">
              <w:t xml:space="preserve">Severe mental and/or physical incapacity where the person is unable to express himself/herself in a manner understood by </w:t>
            </w:r>
            <w:r w:rsidRPr="00817101">
              <w:lastRenderedPageBreak/>
              <w:t>others. For example: cases such as delirium or severe cognitive impairment, where depression cannot be accurately assessed through use of nationally recognized standardized depression assessment tools.</w:t>
            </w:r>
          </w:p>
        </w:tc>
      </w:tr>
      <w:tr w:rsidR="00D63CD3" w14:paraId="780D73DF" w14:textId="77777777" w:rsidTr="001B3CF3">
        <w:tc>
          <w:tcPr>
            <w:tcW w:w="2808" w:type="dxa"/>
          </w:tcPr>
          <w:p w14:paraId="780D73DA" w14:textId="77777777" w:rsidR="00D63CD3" w:rsidRDefault="00D63CD3" w:rsidP="00AF103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Denominator Size</w:t>
            </w:r>
          </w:p>
        </w:tc>
        <w:tc>
          <w:tcPr>
            <w:tcW w:w="6768" w:type="dxa"/>
          </w:tcPr>
          <w:p w14:paraId="780D73DB" w14:textId="77777777"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14:paraId="780D73DC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14:paraId="780D73DD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14:paraId="780D73DE" w14:textId="77777777" w:rsidR="0032246B" w:rsidRPr="001D6BEA" w:rsidRDefault="0032246B" w:rsidP="00561D6D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561D6D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14:paraId="780D73E2" w14:textId="77777777" w:rsidTr="001B3CF3">
        <w:tc>
          <w:tcPr>
            <w:tcW w:w="2808" w:type="dxa"/>
          </w:tcPr>
          <w:p w14:paraId="780D73E0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Numerator Description </w:t>
            </w:r>
          </w:p>
        </w:tc>
        <w:tc>
          <w:tcPr>
            <w:tcW w:w="6768" w:type="dxa"/>
          </w:tcPr>
          <w:p w14:paraId="780D73E1" w14:textId="4B7F118A" w:rsidR="006A4C2B" w:rsidRPr="001B3CF3" w:rsidRDefault="00C05C03" w:rsidP="00AF103E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Patient’s screening for clinical depression using a standardized tool AND follow-up plan is documented</w:t>
            </w:r>
          </w:p>
        </w:tc>
      </w:tr>
      <w:tr w:rsidR="00787D45" w14:paraId="780D73E5" w14:textId="77777777" w:rsidTr="001B3CF3">
        <w:tc>
          <w:tcPr>
            <w:tcW w:w="2808" w:type="dxa"/>
          </w:tcPr>
          <w:p w14:paraId="780D73E3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6768" w:type="dxa"/>
          </w:tcPr>
          <w:p w14:paraId="780D73E4" w14:textId="4748BD2B" w:rsidR="00787D45" w:rsidRPr="0012650D" w:rsidRDefault="00787D45" w:rsidP="002F15E3">
            <w:pPr>
              <w:pStyle w:val="NoSpacing"/>
              <w:rPr>
                <w:b/>
              </w:rPr>
            </w:pPr>
            <w:r>
              <w:t>The Measure Steward does not identify specific numerator inclusions beyond what is described</w:t>
            </w:r>
            <w:r w:rsidR="00C05C03">
              <w:t xml:space="preserve"> in the numerator description.</w:t>
            </w:r>
          </w:p>
        </w:tc>
      </w:tr>
      <w:tr w:rsidR="00787D45" w14:paraId="780D73E8" w14:textId="77777777" w:rsidTr="001B3CF3">
        <w:tc>
          <w:tcPr>
            <w:tcW w:w="2808" w:type="dxa"/>
          </w:tcPr>
          <w:p w14:paraId="780D73E6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6768" w:type="dxa"/>
          </w:tcPr>
          <w:p w14:paraId="780D73E7" w14:textId="3FFDDFFF" w:rsidR="00787D45" w:rsidRPr="001D6BEA" w:rsidRDefault="00787D45" w:rsidP="002F15E3">
            <w:pPr>
              <w:pStyle w:val="NoSpacing"/>
            </w:pPr>
            <w:r>
              <w:t>The Measure Steward does not identify specific numerator exclusions beyond what is described</w:t>
            </w:r>
            <w:r w:rsidR="00C05C03">
              <w:t xml:space="preserve"> in the numerator description.</w:t>
            </w:r>
          </w:p>
        </w:tc>
      </w:tr>
      <w:tr w:rsidR="00AD706B" w14:paraId="780D73EB" w14:textId="77777777" w:rsidTr="001B3CF3">
        <w:tc>
          <w:tcPr>
            <w:tcW w:w="2808" w:type="dxa"/>
          </w:tcPr>
          <w:p w14:paraId="780D73E9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6768" w:type="dxa"/>
          </w:tcPr>
          <w:p w14:paraId="780D73EA" w14:textId="606B3546" w:rsidR="00AD706B" w:rsidRDefault="00C05C03" w:rsidP="00CD7069">
            <w:pPr>
              <w:pStyle w:val="NoSpacing"/>
            </w:pPr>
            <w:r>
              <w:t>Multiple</w:t>
            </w:r>
          </w:p>
        </w:tc>
      </w:tr>
      <w:tr w:rsidR="00AD706B" w14:paraId="780D73EE" w14:textId="77777777" w:rsidTr="001B3CF3">
        <w:tc>
          <w:tcPr>
            <w:tcW w:w="2808" w:type="dxa"/>
          </w:tcPr>
          <w:p w14:paraId="780D73EC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768" w:type="dxa"/>
          </w:tcPr>
          <w:p w14:paraId="780D73ED" w14:textId="273F1590" w:rsidR="00847C55" w:rsidRDefault="00AF3A3D" w:rsidP="00075CF7">
            <w:pPr>
              <w:pStyle w:val="NoSpacing"/>
            </w:pPr>
            <w:r>
              <w:t>Administ</w:t>
            </w:r>
            <w:r w:rsidR="00847C55">
              <w:t>rative/Clinical data sources</w:t>
            </w:r>
            <w:r w:rsidR="00075CF7">
              <w:t xml:space="preserve">; </w:t>
            </w:r>
            <w:r w:rsidR="00847C55">
              <w:t>Patient Registry</w:t>
            </w:r>
          </w:p>
        </w:tc>
      </w:tr>
      <w:tr w:rsidR="006A4C2B" w14:paraId="780D740D" w14:textId="77777777" w:rsidTr="001B3CF3">
        <w:tc>
          <w:tcPr>
            <w:tcW w:w="2808" w:type="dxa"/>
          </w:tcPr>
          <w:p w14:paraId="780D73EF" w14:textId="3DFB35CD" w:rsidR="006A4C2B" w:rsidRPr="00717546" w:rsidRDefault="006A4C2B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6768" w:type="dxa"/>
          </w:tcPr>
          <w:p w14:paraId="26A4B41C" w14:textId="77777777" w:rsidR="006A4C2B" w:rsidRDefault="006A4C2B" w:rsidP="00283705">
            <w:pPr>
              <w:pStyle w:val="NoSpacing"/>
            </w:pPr>
            <w:r>
              <w:t>All denominator subsets are permissible for this outcome</w:t>
            </w:r>
          </w:p>
          <w:p w14:paraId="780D740C" w14:textId="76598047" w:rsidR="006A4C2B" w:rsidRDefault="006A4C2B" w:rsidP="007F7C07">
            <w:pPr>
              <w:pStyle w:val="NoSpacing"/>
            </w:pPr>
            <w:r>
              <w:t> </w:t>
            </w:r>
          </w:p>
        </w:tc>
      </w:tr>
    </w:tbl>
    <w:p w14:paraId="780D745C" w14:textId="77777777" w:rsidR="00356CF4" w:rsidRPr="008F249E" w:rsidRDefault="00356CF4" w:rsidP="007C7C85">
      <w:pPr>
        <w:pStyle w:val="Heading2"/>
      </w:pPr>
    </w:p>
    <w:sectPr w:rsidR="00356CF4" w:rsidRPr="008F249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C06B7" w14:textId="77777777" w:rsidR="00A05F97" w:rsidRDefault="00A05F97" w:rsidP="00F63191">
      <w:pPr>
        <w:spacing w:after="0" w:line="240" w:lineRule="auto"/>
      </w:pPr>
      <w:r>
        <w:separator/>
      </w:r>
    </w:p>
  </w:endnote>
  <w:endnote w:type="continuationSeparator" w:id="0">
    <w:p w14:paraId="5091965E" w14:textId="77777777" w:rsidR="00A05F97" w:rsidRDefault="00A05F97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1703E" w14:textId="1149C26A" w:rsidR="00156539" w:rsidRDefault="00156539">
    <w:pPr>
      <w:pStyle w:val="Footer"/>
    </w:pPr>
    <w:r>
      <w:t>9/1/14</w:t>
    </w:r>
  </w:p>
  <w:p w14:paraId="780D7463" w14:textId="77777777" w:rsidR="002E14AF" w:rsidRDefault="002E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85360" w14:textId="77777777" w:rsidR="00A05F97" w:rsidRDefault="00A05F97" w:rsidP="00F63191">
      <w:pPr>
        <w:spacing w:after="0" w:line="240" w:lineRule="auto"/>
      </w:pPr>
      <w:r>
        <w:separator/>
      </w:r>
    </w:p>
  </w:footnote>
  <w:footnote w:type="continuationSeparator" w:id="0">
    <w:p w14:paraId="17108D61" w14:textId="77777777" w:rsidR="00A05F97" w:rsidRDefault="00A05F97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D7461" w14:textId="09C4FAC6" w:rsidR="008F0411" w:rsidRDefault="008F0411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800C3"/>
    <w:multiLevelType w:val="hybridMultilevel"/>
    <w:tmpl w:val="F226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00FD0"/>
    <w:multiLevelType w:val="hybridMultilevel"/>
    <w:tmpl w:val="91CA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D41CF"/>
    <w:multiLevelType w:val="hybridMultilevel"/>
    <w:tmpl w:val="B02AB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A2645F"/>
    <w:multiLevelType w:val="hybridMultilevel"/>
    <w:tmpl w:val="A32EC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7106C"/>
    <w:multiLevelType w:val="hybridMultilevel"/>
    <w:tmpl w:val="6A9E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3"/>
  </w:num>
  <w:num w:numId="6">
    <w:abstractNumId w:val="7"/>
  </w:num>
  <w:num w:numId="7">
    <w:abstractNumId w:val="14"/>
  </w:num>
  <w:num w:numId="8">
    <w:abstractNumId w:val="8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75CF7"/>
    <w:rsid w:val="000A2D99"/>
    <w:rsid w:val="000C575F"/>
    <w:rsid w:val="000D1199"/>
    <w:rsid w:val="000D5A2D"/>
    <w:rsid w:val="000E7EED"/>
    <w:rsid w:val="000F60DD"/>
    <w:rsid w:val="00100A2F"/>
    <w:rsid w:val="00107C1A"/>
    <w:rsid w:val="00116208"/>
    <w:rsid w:val="0011709A"/>
    <w:rsid w:val="00156539"/>
    <w:rsid w:val="00165D76"/>
    <w:rsid w:val="001B3CF3"/>
    <w:rsid w:val="001D6BEA"/>
    <w:rsid w:val="002224F0"/>
    <w:rsid w:val="00245754"/>
    <w:rsid w:val="00271E53"/>
    <w:rsid w:val="002845C2"/>
    <w:rsid w:val="002E14AF"/>
    <w:rsid w:val="0032246B"/>
    <w:rsid w:val="003268B7"/>
    <w:rsid w:val="00346B8D"/>
    <w:rsid w:val="00356CF4"/>
    <w:rsid w:val="00366D0B"/>
    <w:rsid w:val="00375652"/>
    <w:rsid w:val="00383516"/>
    <w:rsid w:val="003844DB"/>
    <w:rsid w:val="003A409E"/>
    <w:rsid w:val="003C781D"/>
    <w:rsid w:val="003F4E8D"/>
    <w:rsid w:val="00416E44"/>
    <w:rsid w:val="00462EC7"/>
    <w:rsid w:val="004E7F26"/>
    <w:rsid w:val="00502BE4"/>
    <w:rsid w:val="00506BC5"/>
    <w:rsid w:val="00536799"/>
    <w:rsid w:val="00561D6D"/>
    <w:rsid w:val="005802A0"/>
    <w:rsid w:val="005857E6"/>
    <w:rsid w:val="005B79DD"/>
    <w:rsid w:val="005C70A1"/>
    <w:rsid w:val="005F4D43"/>
    <w:rsid w:val="006A0363"/>
    <w:rsid w:val="006A4C2B"/>
    <w:rsid w:val="0071629B"/>
    <w:rsid w:val="007164C7"/>
    <w:rsid w:val="00726561"/>
    <w:rsid w:val="00743628"/>
    <w:rsid w:val="00760D27"/>
    <w:rsid w:val="00787D45"/>
    <w:rsid w:val="007C728B"/>
    <w:rsid w:val="007C7C85"/>
    <w:rsid w:val="007E0395"/>
    <w:rsid w:val="007F675B"/>
    <w:rsid w:val="007F7C07"/>
    <w:rsid w:val="00817101"/>
    <w:rsid w:val="00823868"/>
    <w:rsid w:val="00827557"/>
    <w:rsid w:val="00847C55"/>
    <w:rsid w:val="008722BB"/>
    <w:rsid w:val="00874FAA"/>
    <w:rsid w:val="008779F5"/>
    <w:rsid w:val="0088642E"/>
    <w:rsid w:val="00886E0E"/>
    <w:rsid w:val="008A5405"/>
    <w:rsid w:val="008D1A8E"/>
    <w:rsid w:val="008F0411"/>
    <w:rsid w:val="008F249E"/>
    <w:rsid w:val="00965A2A"/>
    <w:rsid w:val="00967948"/>
    <w:rsid w:val="00994A41"/>
    <w:rsid w:val="00996DD5"/>
    <w:rsid w:val="009A7508"/>
    <w:rsid w:val="009C6EA3"/>
    <w:rsid w:val="009F04D0"/>
    <w:rsid w:val="009F78A7"/>
    <w:rsid w:val="009F7E66"/>
    <w:rsid w:val="00A05F97"/>
    <w:rsid w:val="00A11BD9"/>
    <w:rsid w:val="00A82574"/>
    <w:rsid w:val="00AA0CA2"/>
    <w:rsid w:val="00AC3A97"/>
    <w:rsid w:val="00AD706B"/>
    <w:rsid w:val="00AF3A3D"/>
    <w:rsid w:val="00B05CBF"/>
    <w:rsid w:val="00B20462"/>
    <w:rsid w:val="00B546CF"/>
    <w:rsid w:val="00B65D92"/>
    <w:rsid w:val="00B7257A"/>
    <w:rsid w:val="00BA61F1"/>
    <w:rsid w:val="00BC4643"/>
    <w:rsid w:val="00BF7ED1"/>
    <w:rsid w:val="00C01E6F"/>
    <w:rsid w:val="00C05C03"/>
    <w:rsid w:val="00C36D72"/>
    <w:rsid w:val="00C86C48"/>
    <w:rsid w:val="00C9758A"/>
    <w:rsid w:val="00CA2D3E"/>
    <w:rsid w:val="00CA4C08"/>
    <w:rsid w:val="00CB01F2"/>
    <w:rsid w:val="00CC28BC"/>
    <w:rsid w:val="00CD7069"/>
    <w:rsid w:val="00D1777E"/>
    <w:rsid w:val="00D63CD3"/>
    <w:rsid w:val="00DB7651"/>
    <w:rsid w:val="00DC0222"/>
    <w:rsid w:val="00DE660A"/>
    <w:rsid w:val="00E1692C"/>
    <w:rsid w:val="00E43145"/>
    <w:rsid w:val="00EB6678"/>
    <w:rsid w:val="00EF333D"/>
    <w:rsid w:val="00F05C01"/>
    <w:rsid w:val="00F069C3"/>
    <w:rsid w:val="00F06C5E"/>
    <w:rsid w:val="00F20443"/>
    <w:rsid w:val="00F63191"/>
    <w:rsid w:val="00F64CD1"/>
    <w:rsid w:val="00F9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7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styleId="FollowedHyperlink">
    <w:name w:val="FollowedHyperlink"/>
    <w:basedOn w:val="DefaultParagraphFont"/>
    <w:uiPriority w:val="99"/>
    <w:semiHidden/>
    <w:unhideWhenUsed/>
    <w:rsid w:val="00075CF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7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styleId="FollowedHyperlink">
    <w:name w:val="FollowedHyperlink"/>
    <w:basedOn w:val="DefaultParagraphFont"/>
    <w:uiPriority w:val="99"/>
    <w:semiHidden/>
    <w:unhideWhenUsed/>
    <w:rsid w:val="00075CF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7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77631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84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8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455529">
                                                  <w:marLeft w:val="0"/>
                                                  <w:marRight w:val="35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1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81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ms.gov/Medicare/Quality-Initiatives-Patient-Assessment-Instruments/PQRS/downloads/2011_physqualrptg_measurespecificationsmanual_033111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A798-272A-4EC7-85BB-DFB1824B2600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08BC5E-6DF3-471D-956D-A5DFD88A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75D97F-0731-4ECF-84A5-B404AD898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F86292-0C63-40CD-85C2-554D0F4A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2</cp:revision>
  <dcterms:created xsi:type="dcterms:W3CDTF">2014-09-18T21:26:00Z</dcterms:created>
  <dcterms:modified xsi:type="dcterms:W3CDTF">2014-09-18T21:26:00Z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