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67299" w14:textId="77777777" w:rsidR="00CF7598" w:rsidRDefault="00CF7598" w:rsidP="00CF7598">
      <w:pPr>
        <w:pStyle w:val="Heading1"/>
      </w:pPr>
      <w:r>
        <w:t>IT-1.7:  Controlling High Blood Pressure</w:t>
      </w:r>
    </w:p>
    <w:tbl>
      <w:tblPr>
        <w:tblStyle w:val="TableGrid"/>
        <w:tblW w:w="0" w:type="auto"/>
        <w:tblLook w:val="04A0" w:firstRow="1" w:lastRow="0" w:firstColumn="1" w:lastColumn="0" w:noHBand="0" w:noVBand="1"/>
      </w:tblPr>
      <w:tblGrid>
        <w:gridCol w:w="2713"/>
        <w:gridCol w:w="6863"/>
      </w:tblGrid>
      <w:tr w:rsidR="00AD706B" w14:paraId="4A1D842E" w14:textId="77777777" w:rsidTr="0011709A">
        <w:trPr>
          <w:tblHeader/>
        </w:trPr>
        <w:tc>
          <w:tcPr>
            <w:tcW w:w="2718" w:type="dxa"/>
            <w:shd w:val="clear" w:color="auto" w:fill="F2F2F2" w:themeFill="background1" w:themeFillShade="F2"/>
          </w:tcPr>
          <w:p w14:paraId="16470A03" w14:textId="77777777" w:rsidR="00AD706B" w:rsidRPr="00717546" w:rsidRDefault="00AD706B" w:rsidP="00A374B8">
            <w:pPr>
              <w:pStyle w:val="NoSpacing"/>
              <w:rPr>
                <w:b/>
              </w:rPr>
            </w:pPr>
            <w:r w:rsidRPr="00717546">
              <w:rPr>
                <w:b/>
              </w:rPr>
              <w:t>Measure Title</w:t>
            </w:r>
          </w:p>
        </w:tc>
        <w:tc>
          <w:tcPr>
            <w:tcW w:w="6858" w:type="dxa"/>
            <w:shd w:val="clear" w:color="auto" w:fill="F2F2F2" w:themeFill="background1" w:themeFillShade="F2"/>
          </w:tcPr>
          <w:p w14:paraId="3E57D1EF" w14:textId="054DAEF7" w:rsidR="00AD706B" w:rsidRPr="008779F5" w:rsidRDefault="00A04A14" w:rsidP="00B05CBF">
            <w:pPr>
              <w:pStyle w:val="NoSpacing"/>
              <w:rPr>
                <w:b/>
              </w:rPr>
            </w:pPr>
            <w:r>
              <w:rPr>
                <w:b/>
              </w:rPr>
              <w:t xml:space="preserve">IT-1.7 </w:t>
            </w:r>
            <w:r w:rsidR="00CF7598" w:rsidRPr="00CF7598">
              <w:rPr>
                <w:b/>
              </w:rPr>
              <w:t>Controlling High Blood Pressure</w:t>
            </w:r>
          </w:p>
        </w:tc>
      </w:tr>
      <w:tr w:rsidR="00AD706B" w14:paraId="06DA8D34" w14:textId="77777777" w:rsidTr="00A374B8">
        <w:tc>
          <w:tcPr>
            <w:tcW w:w="2718" w:type="dxa"/>
          </w:tcPr>
          <w:p w14:paraId="6964C80D" w14:textId="77777777" w:rsidR="00AD706B" w:rsidRPr="00717546" w:rsidRDefault="00AD706B" w:rsidP="00A374B8">
            <w:pPr>
              <w:pStyle w:val="NoSpacing"/>
              <w:rPr>
                <w:b/>
              </w:rPr>
            </w:pPr>
            <w:r w:rsidRPr="00717546">
              <w:rPr>
                <w:b/>
              </w:rPr>
              <w:t>Description</w:t>
            </w:r>
          </w:p>
        </w:tc>
        <w:tc>
          <w:tcPr>
            <w:tcW w:w="6858" w:type="dxa"/>
          </w:tcPr>
          <w:p w14:paraId="5A5B97C7" w14:textId="77777777" w:rsidR="00AD706B" w:rsidRDefault="00CF7598" w:rsidP="00B05CBF">
            <w:pPr>
              <w:pStyle w:val="NoSpacing"/>
            </w:pPr>
            <w:r>
              <w:t>Percentage</w:t>
            </w:r>
            <w:r w:rsidRPr="00CF7598">
              <w:t xml:space="preserve"> of patients 18 to 85 years of age who had a diagnosis of hypertension (HTN) and whose blood pressure (BP) was adequately controlled (&lt;140/90) during the measurement year.</w:t>
            </w:r>
          </w:p>
        </w:tc>
      </w:tr>
      <w:tr w:rsidR="00AD706B" w14:paraId="362FCFB0" w14:textId="77777777" w:rsidTr="00A374B8">
        <w:tc>
          <w:tcPr>
            <w:tcW w:w="2718" w:type="dxa"/>
          </w:tcPr>
          <w:p w14:paraId="0967CA8D" w14:textId="77777777" w:rsidR="00AD706B" w:rsidRPr="00717546" w:rsidRDefault="00AD706B" w:rsidP="00A374B8">
            <w:pPr>
              <w:pStyle w:val="NoSpacing"/>
              <w:rPr>
                <w:b/>
              </w:rPr>
            </w:pPr>
            <w:r w:rsidRPr="00717546">
              <w:rPr>
                <w:b/>
              </w:rPr>
              <w:t>NQF Number</w:t>
            </w:r>
          </w:p>
        </w:tc>
        <w:tc>
          <w:tcPr>
            <w:tcW w:w="6858" w:type="dxa"/>
          </w:tcPr>
          <w:p w14:paraId="6DD241B6" w14:textId="77777777" w:rsidR="00AD706B" w:rsidRDefault="00CF7598" w:rsidP="00B05CBF">
            <w:pPr>
              <w:pStyle w:val="NoSpacing"/>
            </w:pPr>
            <w:r>
              <w:t>0018</w:t>
            </w:r>
          </w:p>
        </w:tc>
      </w:tr>
      <w:tr w:rsidR="00AD706B" w14:paraId="117710F9" w14:textId="77777777" w:rsidTr="00A374B8">
        <w:tc>
          <w:tcPr>
            <w:tcW w:w="2718" w:type="dxa"/>
          </w:tcPr>
          <w:p w14:paraId="633F746B" w14:textId="77777777" w:rsidR="00AD706B" w:rsidRPr="00717546" w:rsidRDefault="00AD706B" w:rsidP="00A374B8">
            <w:pPr>
              <w:pStyle w:val="NoSpacing"/>
              <w:rPr>
                <w:b/>
              </w:rPr>
            </w:pPr>
            <w:r>
              <w:rPr>
                <w:b/>
              </w:rPr>
              <w:t>Measure Steward</w:t>
            </w:r>
          </w:p>
        </w:tc>
        <w:tc>
          <w:tcPr>
            <w:tcW w:w="6858" w:type="dxa"/>
          </w:tcPr>
          <w:p w14:paraId="146212C7" w14:textId="77777777" w:rsidR="00AD706B" w:rsidRPr="00631E85" w:rsidRDefault="00CF7598" w:rsidP="00A374B8">
            <w:pPr>
              <w:pStyle w:val="NoSpacing"/>
            </w:pPr>
            <w:r w:rsidRPr="00CF7598">
              <w:t>National Committee for Quality Assurance</w:t>
            </w:r>
          </w:p>
        </w:tc>
      </w:tr>
      <w:tr w:rsidR="00AD706B" w14:paraId="21F675B2" w14:textId="77777777" w:rsidTr="00A374B8">
        <w:tc>
          <w:tcPr>
            <w:tcW w:w="2718" w:type="dxa"/>
          </w:tcPr>
          <w:p w14:paraId="1FD2C82C" w14:textId="77777777" w:rsidR="00AD706B" w:rsidRDefault="00AD706B" w:rsidP="00A374B8">
            <w:pPr>
              <w:pStyle w:val="NoSpacing"/>
              <w:rPr>
                <w:b/>
              </w:rPr>
            </w:pPr>
            <w:r>
              <w:rPr>
                <w:b/>
              </w:rPr>
              <w:t>Link to measure citation</w:t>
            </w:r>
          </w:p>
        </w:tc>
        <w:tc>
          <w:tcPr>
            <w:tcW w:w="6858" w:type="dxa"/>
          </w:tcPr>
          <w:p w14:paraId="4CA72471" w14:textId="77777777" w:rsidR="00CF7598" w:rsidRDefault="00EC4E15" w:rsidP="00A374B8">
            <w:pPr>
              <w:pStyle w:val="NoSpacing"/>
            </w:pPr>
            <w:hyperlink r:id="rId12" w:history="1">
              <w:r w:rsidR="00DE0604" w:rsidRPr="00A07548">
                <w:rPr>
                  <w:rStyle w:val="Hyperlink"/>
                </w:rPr>
                <w:t>http://www.qualityforum.org/QPS/0018</w:t>
              </w:r>
            </w:hyperlink>
            <w:r w:rsidR="00DE0604">
              <w:t xml:space="preserve"> </w:t>
            </w:r>
          </w:p>
          <w:p w14:paraId="7455FDCC" w14:textId="3BA3BE62" w:rsidR="006F6B64" w:rsidRPr="00631E85" w:rsidRDefault="00EC4E15" w:rsidP="00A374B8">
            <w:pPr>
              <w:pStyle w:val="NoSpacing"/>
            </w:pPr>
            <w:hyperlink r:id="rId13" w:history="1">
              <w:r w:rsidR="006F6B64" w:rsidRPr="00CE2BEE">
                <w:rPr>
                  <w:rStyle w:val="Hyperlink"/>
                </w:rPr>
                <w:t>http://www.qualitymeasures.ahrq.gov/popups/printView.aspx?id=47176</w:t>
              </w:r>
            </w:hyperlink>
            <w:r w:rsidR="006F6B64">
              <w:t xml:space="preserve"> </w:t>
            </w:r>
          </w:p>
        </w:tc>
      </w:tr>
      <w:tr w:rsidR="00AD706B" w14:paraId="7BE8A4F4" w14:textId="77777777" w:rsidTr="00A374B8">
        <w:tc>
          <w:tcPr>
            <w:tcW w:w="2718" w:type="dxa"/>
          </w:tcPr>
          <w:p w14:paraId="070DE770" w14:textId="77777777" w:rsidR="00AD706B" w:rsidRDefault="00AD706B" w:rsidP="00A374B8">
            <w:pPr>
              <w:pStyle w:val="NoSpacing"/>
              <w:rPr>
                <w:b/>
              </w:rPr>
            </w:pPr>
            <w:r>
              <w:rPr>
                <w:b/>
              </w:rPr>
              <w:t>Measure type</w:t>
            </w:r>
          </w:p>
        </w:tc>
        <w:tc>
          <w:tcPr>
            <w:tcW w:w="6858" w:type="dxa"/>
          </w:tcPr>
          <w:p w14:paraId="3B7468E3" w14:textId="276CC07D" w:rsidR="00AD706B" w:rsidRDefault="00AD706B" w:rsidP="00DC2C27">
            <w:pPr>
              <w:pStyle w:val="NoSpacing"/>
            </w:pPr>
            <w:r>
              <w:t>Stand-</w:t>
            </w:r>
            <w:r w:rsidR="00DC2C27">
              <w:t>A</w:t>
            </w:r>
            <w:r>
              <w:t>lone</w:t>
            </w:r>
            <w:r w:rsidR="00165D76">
              <w:t xml:space="preserve"> (SA)</w:t>
            </w:r>
          </w:p>
        </w:tc>
      </w:tr>
      <w:tr w:rsidR="00A04A14" w14:paraId="0291C77A" w14:textId="77777777" w:rsidTr="00A374B8">
        <w:tc>
          <w:tcPr>
            <w:tcW w:w="2718" w:type="dxa"/>
          </w:tcPr>
          <w:p w14:paraId="270D1256" w14:textId="434BB880" w:rsidR="00A04A14" w:rsidRDefault="00A04A14" w:rsidP="00A374B8">
            <w:pPr>
              <w:pStyle w:val="NoSpacing"/>
              <w:rPr>
                <w:b/>
              </w:rPr>
            </w:pPr>
            <w:r>
              <w:rPr>
                <w:b/>
              </w:rPr>
              <w:t>Performance and Achievement Type</w:t>
            </w:r>
          </w:p>
        </w:tc>
        <w:tc>
          <w:tcPr>
            <w:tcW w:w="6858" w:type="dxa"/>
          </w:tcPr>
          <w:p w14:paraId="3EF58CED" w14:textId="77777777" w:rsidR="00A04A14" w:rsidRDefault="00A04A14" w:rsidP="00283705">
            <w:pPr>
              <w:pStyle w:val="NoSpacing"/>
            </w:pPr>
            <w:r>
              <w:t>Pay for Performance (P4P) - QSMIC</w:t>
            </w:r>
          </w:p>
          <w:tbl>
            <w:tblPr>
              <w:tblStyle w:val="TableGrid"/>
              <w:tblW w:w="0" w:type="auto"/>
              <w:tblLook w:val="04A0" w:firstRow="1" w:lastRow="0" w:firstColumn="1" w:lastColumn="0" w:noHBand="0" w:noVBand="1"/>
            </w:tblPr>
            <w:tblGrid>
              <w:gridCol w:w="1880"/>
              <w:gridCol w:w="1060"/>
              <w:gridCol w:w="1846"/>
              <w:gridCol w:w="1846"/>
            </w:tblGrid>
            <w:tr w:rsidR="00A04A14" w14:paraId="315DA809" w14:textId="77777777" w:rsidTr="00283705">
              <w:tc>
                <w:tcPr>
                  <w:tcW w:w="1880" w:type="dxa"/>
                </w:tcPr>
                <w:p w14:paraId="6D2C35BD" w14:textId="77777777" w:rsidR="00A04A14" w:rsidRPr="00791AAE" w:rsidRDefault="00A04A14" w:rsidP="00283705">
                  <w:pPr>
                    <w:pStyle w:val="NoSpacing"/>
                    <w:jc w:val="center"/>
                  </w:pPr>
                </w:p>
              </w:tc>
              <w:tc>
                <w:tcPr>
                  <w:tcW w:w="1060" w:type="dxa"/>
                </w:tcPr>
                <w:p w14:paraId="5416851A" w14:textId="77777777" w:rsidR="00A04A14" w:rsidRPr="00791AAE" w:rsidRDefault="00A04A14" w:rsidP="00283705">
                  <w:pPr>
                    <w:pStyle w:val="NoSpacing"/>
                    <w:jc w:val="center"/>
                  </w:pPr>
                  <w:r>
                    <w:t>Baseline</w:t>
                  </w:r>
                </w:p>
              </w:tc>
              <w:tc>
                <w:tcPr>
                  <w:tcW w:w="1846" w:type="dxa"/>
                </w:tcPr>
                <w:p w14:paraId="7EFD106E" w14:textId="77777777" w:rsidR="00A04A14" w:rsidRPr="00791AAE" w:rsidRDefault="00A04A14" w:rsidP="00283705">
                  <w:pPr>
                    <w:pStyle w:val="NoSpacing"/>
                    <w:jc w:val="center"/>
                  </w:pPr>
                  <w:r w:rsidRPr="00791AAE">
                    <w:t>DY4</w:t>
                  </w:r>
                </w:p>
                <w:p w14:paraId="4D6C51EF" w14:textId="77777777" w:rsidR="00A04A14" w:rsidRPr="00791AAE" w:rsidRDefault="00A04A14" w:rsidP="00283705">
                  <w:pPr>
                    <w:pStyle w:val="NoSpacing"/>
                    <w:jc w:val="center"/>
                  </w:pPr>
                </w:p>
              </w:tc>
              <w:tc>
                <w:tcPr>
                  <w:tcW w:w="1846" w:type="dxa"/>
                </w:tcPr>
                <w:p w14:paraId="4F900EF9" w14:textId="77777777" w:rsidR="00A04A14" w:rsidRPr="00791AAE" w:rsidRDefault="00A04A14" w:rsidP="00283705">
                  <w:pPr>
                    <w:pStyle w:val="NoSpacing"/>
                    <w:jc w:val="center"/>
                  </w:pPr>
                  <w:r w:rsidRPr="00791AAE">
                    <w:t>DY5</w:t>
                  </w:r>
                </w:p>
                <w:p w14:paraId="649B356E" w14:textId="77777777" w:rsidR="00A04A14" w:rsidRPr="00791AAE" w:rsidRDefault="00A04A14" w:rsidP="00283705">
                  <w:pPr>
                    <w:pStyle w:val="NoSpacing"/>
                    <w:jc w:val="center"/>
                  </w:pPr>
                </w:p>
              </w:tc>
            </w:tr>
            <w:tr w:rsidR="00A04A14" w14:paraId="54EF45FF" w14:textId="77777777" w:rsidTr="00283705">
              <w:tc>
                <w:tcPr>
                  <w:tcW w:w="1880" w:type="dxa"/>
                  <w:vMerge w:val="restart"/>
                </w:tcPr>
                <w:p w14:paraId="71042A66" w14:textId="77777777" w:rsidR="00A04A14" w:rsidRPr="00791AAE" w:rsidRDefault="00A04A14" w:rsidP="00283705">
                  <w:pPr>
                    <w:pStyle w:val="NoSpacing"/>
                    <w:jc w:val="center"/>
                  </w:pPr>
                  <w:r>
                    <w:t>Achievement Level Calculations</w:t>
                  </w:r>
                </w:p>
                <w:p w14:paraId="47DB6FAF" w14:textId="77777777" w:rsidR="00A04A14" w:rsidRPr="00791AAE" w:rsidRDefault="00A04A14" w:rsidP="00283705">
                  <w:pPr>
                    <w:pStyle w:val="NoSpacing"/>
                    <w:jc w:val="center"/>
                  </w:pPr>
                </w:p>
              </w:tc>
              <w:tc>
                <w:tcPr>
                  <w:tcW w:w="1060" w:type="dxa"/>
                </w:tcPr>
                <w:p w14:paraId="48586451" w14:textId="77777777" w:rsidR="00A04A14" w:rsidRDefault="00A04A14" w:rsidP="00283705">
                  <w:pPr>
                    <w:pStyle w:val="NoSpacing"/>
                    <w:jc w:val="center"/>
                  </w:pPr>
                  <w:r>
                    <w:t>Baseline below MPL</w:t>
                  </w:r>
                </w:p>
              </w:tc>
              <w:tc>
                <w:tcPr>
                  <w:tcW w:w="1846" w:type="dxa"/>
                </w:tcPr>
                <w:p w14:paraId="020D45CE" w14:textId="77777777" w:rsidR="00A04A14" w:rsidRPr="00791AAE" w:rsidRDefault="00A04A14" w:rsidP="00283705">
                  <w:pPr>
                    <w:pStyle w:val="NoSpacing"/>
                    <w:jc w:val="center"/>
                  </w:pPr>
                  <w:r w:rsidRPr="00F2515D">
                    <w:t>MPL</w:t>
                  </w:r>
                </w:p>
              </w:tc>
              <w:tc>
                <w:tcPr>
                  <w:tcW w:w="1846" w:type="dxa"/>
                </w:tcPr>
                <w:p w14:paraId="523BA329" w14:textId="77777777" w:rsidR="00A04A14" w:rsidRPr="00791AAE" w:rsidRDefault="00A04A14" w:rsidP="00283705">
                  <w:pPr>
                    <w:pStyle w:val="NoSpacing"/>
                    <w:jc w:val="center"/>
                  </w:pPr>
                  <w:r w:rsidRPr="00F2515D">
                    <w:t>MPL + 10%* (HPL-MPL)</w:t>
                  </w:r>
                </w:p>
              </w:tc>
            </w:tr>
            <w:tr w:rsidR="00A04A14" w14:paraId="2BE62AEC" w14:textId="77777777" w:rsidTr="00283705">
              <w:tc>
                <w:tcPr>
                  <w:tcW w:w="1880" w:type="dxa"/>
                  <w:vMerge/>
                </w:tcPr>
                <w:p w14:paraId="7A5D19E8" w14:textId="77777777" w:rsidR="00A04A14" w:rsidRPr="00791AAE" w:rsidRDefault="00A04A14" w:rsidP="00283705">
                  <w:pPr>
                    <w:pStyle w:val="NoSpacing"/>
                    <w:jc w:val="center"/>
                  </w:pPr>
                </w:p>
              </w:tc>
              <w:tc>
                <w:tcPr>
                  <w:tcW w:w="1060" w:type="dxa"/>
                </w:tcPr>
                <w:p w14:paraId="60B7C40D" w14:textId="77777777" w:rsidR="00A04A14" w:rsidRDefault="00A04A14" w:rsidP="00283705">
                  <w:pPr>
                    <w:pStyle w:val="NoSpacing"/>
                    <w:jc w:val="center"/>
                  </w:pPr>
                  <w:r>
                    <w:t>Baseline above MPL</w:t>
                  </w:r>
                </w:p>
              </w:tc>
              <w:tc>
                <w:tcPr>
                  <w:tcW w:w="1846" w:type="dxa"/>
                </w:tcPr>
                <w:p w14:paraId="04E920C9" w14:textId="77777777" w:rsidR="00A04A14" w:rsidRPr="00791AAE" w:rsidRDefault="00A04A14" w:rsidP="00283705">
                  <w:pPr>
                    <w:pStyle w:val="NoSpacing"/>
                    <w:jc w:val="center"/>
                  </w:pPr>
                  <w:r>
                    <w:t>B</w:t>
                  </w:r>
                  <w:r w:rsidRPr="00F2515D">
                    <w:t xml:space="preserve">aseline + 10%*(HPL - </w:t>
                  </w:r>
                  <w:r>
                    <w:t>B</w:t>
                  </w:r>
                  <w:r w:rsidRPr="00F2515D">
                    <w:t>aseline)</w:t>
                  </w:r>
                </w:p>
              </w:tc>
              <w:tc>
                <w:tcPr>
                  <w:tcW w:w="1846" w:type="dxa"/>
                </w:tcPr>
                <w:p w14:paraId="7E9B6E5F" w14:textId="77777777" w:rsidR="00A04A14" w:rsidRPr="00791AAE" w:rsidRDefault="00A04A14" w:rsidP="00283705">
                  <w:pPr>
                    <w:pStyle w:val="NoSpacing"/>
                    <w:jc w:val="center"/>
                  </w:pPr>
                  <w:r>
                    <w:t>B</w:t>
                  </w:r>
                  <w:r w:rsidRPr="00155143">
                    <w:t xml:space="preserve">aseline + 20%*(HPL - </w:t>
                  </w:r>
                  <w:r>
                    <w:t>B</w:t>
                  </w:r>
                  <w:r w:rsidRPr="00155143">
                    <w:t>aseline)</w:t>
                  </w:r>
                </w:p>
              </w:tc>
            </w:tr>
          </w:tbl>
          <w:p w14:paraId="3B854416" w14:textId="4AF1EBBA" w:rsidR="00A04A14" w:rsidRDefault="00A04A14" w:rsidP="00967948">
            <w:pPr>
              <w:pStyle w:val="NoSpacing"/>
            </w:pPr>
          </w:p>
        </w:tc>
      </w:tr>
      <w:tr w:rsidR="00A04A14" w14:paraId="603C6A18" w14:textId="77777777" w:rsidTr="00A374B8">
        <w:tc>
          <w:tcPr>
            <w:tcW w:w="2718" w:type="dxa"/>
          </w:tcPr>
          <w:p w14:paraId="5FFC9B44" w14:textId="121BCB36" w:rsidR="00A04A14" w:rsidRDefault="00A04A14" w:rsidP="00A374B8">
            <w:pPr>
              <w:pStyle w:val="NoSpacing"/>
              <w:rPr>
                <w:b/>
              </w:rPr>
            </w:pPr>
            <w:r>
              <w:rPr>
                <w:b/>
              </w:rPr>
              <w:t>Benchmark Description</w:t>
            </w:r>
          </w:p>
        </w:tc>
        <w:tc>
          <w:tcPr>
            <w:tcW w:w="6858" w:type="dxa"/>
          </w:tcPr>
          <w:tbl>
            <w:tblPr>
              <w:tblStyle w:val="TableGrid"/>
              <w:tblW w:w="6637" w:type="dxa"/>
              <w:tblLook w:val="04A0" w:firstRow="1" w:lastRow="0" w:firstColumn="1" w:lastColumn="0" w:noHBand="0" w:noVBand="1"/>
            </w:tblPr>
            <w:tblGrid>
              <w:gridCol w:w="3397"/>
              <w:gridCol w:w="3230"/>
              <w:gridCol w:w="10"/>
            </w:tblGrid>
            <w:tr w:rsidR="00A04A14" w14:paraId="3B06DA28" w14:textId="77777777" w:rsidTr="00283705">
              <w:trPr>
                <w:gridAfter w:val="1"/>
                <w:wAfter w:w="10" w:type="dxa"/>
              </w:trPr>
              <w:tc>
                <w:tcPr>
                  <w:tcW w:w="6627" w:type="dxa"/>
                  <w:gridSpan w:val="2"/>
                </w:tcPr>
                <w:p w14:paraId="4F4F94A8" w14:textId="32A78E27" w:rsidR="00990255" w:rsidRPr="00791AAE" w:rsidRDefault="00A04A14" w:rsidP="00990255">
                  <w:pPr>
                    <w:pStyle w:val="NoSpacing"/>
                    <w:jc w:val="center"/>
                  </w:pPr>
                  <w:bookmarkStart w:id="0" w:name="_GoBack" w:colFirst="1" w:colLast="1"/>
                  <w:r>
                    <w:t>NCQA Quality Compass</w:t>
                  </w:r>
                </w:p>
              </w:tc>
            </w:tr>
            <w:tr w:rsidR="00A04A14" w14:paraId="166A5353" w14:textId="77777777" w:rsidTr="00283705">
              <w:tc>
                <w:tcPr>
                  <w:tcW w:w="3397" w:type="dxa"/>
                </w:tcPr>
                <w:p w14:paraId="10EC044E" w14:textId="77777777" w:rsidR="00A04A14" w:rsidRPr="00791AAE" w:rsidRDefault="00A04A14" w:rsidP="00283705">
                  <w:pPr>
                    <w:pStyle w:val="NoSpacing"/>
                    <w:jc w:val="center"/>
                  </w:pPr>
                  <w:r w:rsidRPr="00791AAE">
                    <w:t>HPL (90</w:t>
                  </w:r>
                  <w:r w:rsidRPr="00537ED7">
                    <w:rPr>
                      <w:vertAlign w:val="superscript"/>
                    </w:rPr>
                    <w:t>th</w:t>
                  </w:r>
                  <w:r w:rsidRPr="00791AAE">
                    <w:t xml:space="preserve"> Percentile)</w:t>
                  </w:r>
                </w:p>
              </w:tc>
              <w:tc>
                <w:tcPr>
                  <w:tcW w:w="3240" w:type="dxa"/>
                  <w:gridSpan w:val="2"/>
                </w:tcPr>
                <w:p w14:paraId="496DDAA9" w14:textId="1D660679" w:rsidR="00A04A14" w:rsidRPr="00791AAE" w:rsidRDefault="00A04A14" w:rsidP="00A04A14">
                  <w:pPr>
                    <w:pStyle w:val="NoSpacing"/>
                    <w:jc w:val="center"/>
                  </w:pPr>
                  <w:r>
                    <w:t>69.11%</w:t>
                  </w:r>
                </w:p>
              </w:tc>
            </w:tr>
            <w:tr w:rsidR="00A04A14" w14:paraId="22B62789" w14:textId="77777777" w:rsidTr="00283705">
              <w:tc>
                <w:tcPr>
                  <w:tcW w:w="3397" w:type="dxa"/>
                </w:tcPr>
                <w:p w14:paraId="080B4709" w14:textId="77777777" w:rsidR="00A04A14" w:rsidRPr="00791AAE" w:rsidRDefault="00A04A14" w:rsidP="00283705">
                  <w:pPr>
                    <w:pStyle w:val="NoSpacing"/>
                    <w:jc w:val="center"/>
                  </w:pPr>
                  <w:r>
                    <w:t>MPL (25</w:t>
                  </w:r>
                  <w:r w:rsidRPr="00791AAE">
                    <w:rPr>
                      <w:vertAlign w:val="superscript"/>
                    </w:rPr>
                    <w:t>th</w:t>
                  </w:r>
                  <w:r w:rsidRPr="00791AAE">
                    <w:t xml:space="preserve"> Percentile)</w:t>
                  </w:r>
                  <w:r>
                    <w:t xml:space="preserve"> or 10</w:t>
                  </w:r>
                  <w:r w:rsidRPr="00283705">
                    <w:rPr>
                      <w:vertAlign w:val="superscript"/>
                    </w:rPr>
                    <w:t>th</w:t>
                  </w:r>
                  <w:r>
                    <w:t xml:space="preserve"> if applicable</w:t>
                  </w:r>
                </w:p>
              </w:tc>
              <w:tc>
                <w:tcPr>
                  <w:tcW w:w="3240" w:type="dxa"/>
                  <w:gridSpan w:val="2"/>
                </w:tcPr>
                <w:p w14:paraId="33B0DA5E" w14:textId="5EF57EFC" w:rsidR="00A04A14" w:rsidRPr="00791AAE" w:rsidRDefault="00A04A14" w:rsidP="00A04A14">
                  <w:pPr>
                    <w:pStyle w:val="NoSpacing"/>
                    <w:jc w:val="center"/>
                  </w:pPr>
                  <w:r>
                    <w:t>50.11%</w:t>
                  </w:r>
                </w:p>
              </w:tc>
            </w:tr>
            <w:bookmarkEnd w:id="0"/>
          </w:tbl>
          <w:p w14:paraId="78DD636E" w14:textId="77777777" w:rsidR="00A04A14" w:rsidRDefault="00A04A14" w:rsidP="00283705">
            <w:pPr>
              <w:pStyle w:val="NoSpacing"/>
            </w:pPr>
          </w:p>
        </w:tc>
      </w:tr>
      <w:tr w:rsidR="00A04A14" w14:paraId="33BB3A16" w14:textId="77777777" w:rsidTr="00A374B8">
        <w:tc>
          <w:tcPr>
            <w:tcW w:w="2718" w:type="dxa"/>
          </w:tcPr>
          <w:p w14:paraId="2D9E51BD" w14:textId="77777777" w:rsidR="00A04A14" w:rsidRPr="00717546" w:rsidRDefault="00A04A14" w:rsidP="00A374B8">
            <w:pPr>
              <w:pStyle w:val="NoSpacing"/>
              <w:rPr>
                <w:b/>
              </w:rPr>
            </w:pPr>
            <w:r>
              <w:rPr>
                <w:b/>
              </w:rPr>
              <w:t>DSRIP-specific modifications to Measure Steward’s specification</w:t>
            </w:r>
          </w:p>
        </w:tc>
        <w:tc>
          <w:tcPr>
            <w:tcW w:w="6858" w:type="dxa"/>
          </w:tcPr>
          <w:p w14:paraId="4782D1C0" w14:textId="28714A88" w:rsidR="00A04A14" w:rsidRPr="008446A8" w:rsidRDefault="00A04A14" w:rsidP="008446A8">
            <w:pPr>
              <w:pStyle w:val="NoSpacing"/>
            </w:pPr>
            <w:r w:rsidRPr="008446A8">
              <w:t>The Measure Steward’s specification has been modified as follows:</w:t>
            </w:r>
          </w:p>
          <w:p w14:paraId="00B593A3" w14:textId="584931BD" w:rsidR="00A04A14" w:rsidRPr="008446A8" w:rsidRDefault="00A04A14" w:rsidP="008446A8">
            <w:pPr>
              <w:pStyle w:val="NoSpacing"/>
              <w:numPr>
                <w:ilvl w:val="0"/>
                <w:numId w:val="9"/>
              </w:numPr>
            </w:pPr>
            <w:r w:rsidRPr="008446A8">
              <w:t xml:space="preserve">Replaced </w:t>
            </w:r>
            <w:r>
              <w:t>references to specific dates/months to more general terminology</w:t>
            </w:r>
            <w:r w:rsidRPr="008446A8">
              <w:t xml:space="preserve"> </w:t>
            </w:r>
          </w:p>
          <w:p w14:paraId="2DB27EE7" w14:textId="582C5227" w:rsidR="00A04A14" w:rsidRDefault="00A04A14" w:rsidP="00051DAD">
            <w:pPr>
              <w:pStyle w:val="NoSpacing"/>
              <w:numPr>
                <w:ilvl w:val="0"/>
                <w:numId w:val="9"/>
              </w:numPr>
            </w:pPr>
            <w:r w:rsidRPr="008446A8">
              <w:t xml:space="preserve">Replaced denominator reference requiring patient needing to be enrolled for a continuous 12-month period and inserted a requirement that the patient must have at least one encounter with the provider in the 12-month period prior to the measurement period. </w:t>
            </w:r>
          </w:p>
        </w:tc>
      </w:tr>
      <w:tr w:rsidR="00A04A14" w14:paraId="7E5FA673" w14:textId="77777777" w:rsidTr="00A374B8">
        <w:tc>
          <w:tcPr>
            <w:tcW w:w="2718" w:type="dxa"/>
          </w:tcPr>
          <w:p w14:paraId="30B0337D" w14:textId="77777777" w:rsidR="00A04A14" w:rsidRPr="00717546" w:rsidRDefault="00A04A14" w:rsidP="001D6BEA">
            <w:pPr>
              <w:pStyle w:val="NoSpacing"/>
              <w:rPr>
                <w:b/>
              </w:rPr>
            </w:pPr>
            <w:r w:rsidRPr="00717546">
              <w:rPr>
                <w:b/>
              </w:rPr>
              <w:t>Denominator</w:t>
            </w:r>
            <w:r>
              <w:rPr>
                <w:b/>
              </w:rPr>
              <w:t xml:space="preserve"> Description </w:t>
            </w:r>
          </w:p>
        </w:tc>
        <w:tc>
          <w:tcPr>
            <w:tcW w:w="6858" w:type="dxa"/>
          </w:tcPr>
          <w:p w14:paraId="72B3FF8D" w14:textId="5F3AB68A" w:rsidR="00A04A14" w:rsidRPr="009F7E66" w:rsidRDefault="00A04A14" w:rsidP="00C12BB9">
            <w:pPr>
              <w:pStyle w:val="NoSpacing"/>
            </w:pPr>
            <w:r w:rsidRPr="004D213A">
              <w:t>Patients 18 to 85 years of age by the end of the measurement year who had at least one outpatient encounter with a diagnosis of hypertension (HTN) during the first six months of the measurement year.</w:t>
            </w:r>
          </w:p>
        </w:tc>
      </w:tr>
      <w:tr w:rsidR="00A04A14" w14:paraId="68643262" w14:textId="77777777" w:rsidTr="00B05CBF">
        <w:trPr>
          <w:trHeight w:val="728"/>
        </w:trPr>
        <w:tc>
          <w:tcPr>
            <w:tcW w:w="2718" w:type="dxa"/>
          </w:tcPr>
          <w:p w14:paraId="36818F13" w14:textId="77777777" w:rsidR="00A04A14" w:rsidRPr="00717546" w:rsidRDefault="00A04A14" w:rsidP="00C01E6F">
            <w:pPr>
              <w:pStyle w:val="NoSpacing"/>
              <w:rPr>
                <w:b/>
              </w:rPr>
            </w:pPr>
            <w:r>
              <w:rPr>
                <w:b/>
              </w:rPr>
              <w:t>Denominator Inclusions</w:t>
            </w:r>
          </w:p>
        </w:tc>
        <w:tc>
          <w:tcPr>
            <w:tcW w:w="6858" w:type="dxa"/>
          </w:tcPr>
          <w:p w14:paraId="38CAC99A" w14:textId="619A8A86" w:rsidR="00A04A14" w:rsidRDefault="00A04A14" w:rsidP="00DE0604">
            <w:pPr>
              <w:pStyle w:val="NoSpacing"/>
              <w:numPr>
                <w:ilvl w:val="0"/>
                <w:numId w:val="11"/>
              </w:numPr>
            </w:pPr>
            <w:r>
              <w:t>Members 18 to 85 years of age as of the last day of the measurement year  with at least one outpatient visit (Outpatient CPT Value Set) with a diagnosis of hypertension (HTN) (Hypertension Value Set) during the first six months of the measurement year</w:t>
            </w:r>
          </w:p>
          <w:p w14:paraId="6BE3747F" w14:textId="0B156AF5" w:rsidR="00A04A14" w:rsidRDefault="00A04A14" w:rsidP="00DE0604">
            <w:pPr>
              <w:pStyle w:val="NoSpacing"/>
              <w:numPr>
                <w:ilvl w:val="0"/>
                <w:numId w:val="11"/>
              </w:numPr>
            </w:pPr>
            <w:r>
              <w:t>To confirm the diagnosis of hypertension, the organization must find notation of at least one of the following in the medical record on or before the last day of month 6 of the measurement year:</w:t>
            </w:r>
          </w:p>
          <w:p w14:paraId="64C23BCD" w14:textId="5D0BE115" w:rsidR="00A04A14" w:rsidRDefault="00A04A14" w:rsidP="00DE0604">
            <w:pPr>
              <w:pStyle w:val="NoSpacing"/>
              <w:numPr>
                <w:ilvl w:val="1"/>
                <w:numId w:val="11"/>
              </w:numPr>
            </w:pPr>
            <w:r>
              <w:t>HTN</w:t>
            </w:r>
          </w:p>
          <w:p w14:paraId="0A7D1E03" w14:textId="2BC6C8C2" w:rsidR="00A04A14" w:rsidRDefault="00A04A14" w:rsidP="00DE0604">
            <w:pPr>
              <w:pStyle w:val="NoSpacing"/>
              <w:numPr>
                <w:ilvl w:val="1"/>
                <w:numId w:val="11"/>
              </w:numPr>
            </w:pPr>
            <w:r>
              <w:t>High blood pressure (HBP)</w:t>
            </w:r>
          </w:p>
          <w:p w14:paraId="7CF51A33" w14:textId="0410840F" w:rsidR="00A04A14" w:rsidRDefault="00A04A14" w:rsidP="00DE0604">
            <w:pPr>
              <w:pStyle w:val="NoSpacing"/>
              <w:numPr>
                <w:ilvl w:val="1"/>
                <w:numId w:val="11"/>
              </w:numPr>
            </w:pPr>
            <w:r>
              <w:t>Elevated blood pressure (↑BP)</w:t>
            </w:r>
          </w:p>
          <w:p w14:paraId="61FB10CF" w14:textId="08A6F52A" w:rsidR="00A04A14" w:rsidRDefault="00A04A14" w:rsidP="00DE0604">
            <w:pPr>
              <w:pStyle w:val="NoSpacing"/>
              <w:numPr>
                <w:ilvl w:val="1"/>
                <w:numId w:val="11"/>
              </w:numPr>
            </w:pPr>
            <w:r>
              <w:lastRenderedPageBreak/>
              <w:t>Borderline HTN</w:t>
            </w:r>
          </w:p>
          <w:p w14:paraId="77C0BFD2" w14:textId="08180B34" w:rsidR="00A04A14" w:rsidRDefault="00A04A14" w:rsidP="00DE0604">
            <w:pPr>
              <w:pStyle w:val="NoSpacing"/>
              <w:numPr>
                <w:ilvl w:val="1"/>
                <w:numId w:val="11"/>
              </w:numPr>
            </w:pPr>
            <w:r>
              <w:t>Intermittent HTN</w:t>
            </w:r>
          </w:p>
          <w:p w14:paraId="388BC756" w14:textId="1D726D2F" w:rsidR="00A04A14" w:rsidRDefault="00A04A14" w:rsidP="00DE0604">
            <w:pPr>
              <w:pStyle w:val="NoSpacing"/>
              <w:numPr>
                <w:ilvl w:val="1"/>
                <w:numId w:val="11"/>
              </w:numPr>
            </w:pPr>
            <w:r>
              <w:t>History of HTN</w:t>
            </w:r>
          </w:p>
          <w:p w14:paraId="656B053B" w14:textId="49D36CC1" w:rsidR="00A04A14" w:rsidRDefault="00A04A14" w:rsidP="00DE0604">
            <w:pPr>
              <w:pStyle w:val="NoSpacing"/>
              <w:numPr>
                <w:ilvl w:val="1"/>
                <w:numId w:val="11"/>
              </w:numPr>
            </w:pPr>
            <w:r>
              <w:t>Hypertensive vascular disease (HVD)</w:t>
            </w:r>
          </w:p>
          <w:p w14:paraId="55B4A437" w14:textId="4F00094B" w:rsidR="00A04A14" w:rsidRDefault="00A04A14" w:rsidP="00DE0604">
            <w:pPr>
              <w:pStyle w:val="NoSpacing"/>
              <w:numPr>
                <w:ilvl w:val="1"/>
                <w:numId w:val="11"/>
              </w:numPr>
            </w:pPr>
            <w:r>
              <w:t>Hyperpiesia</w:t>
            </w:r>
          </w:p>
          <w:p w14:paraId="0E0CAE85" w14:textId="4F7172A3" w:rsidR="00A04A14" w:rsidRDefault="00A04A14" w:rsidP="00DE0604">
            <w:pPr>
              <w:pStyle w:val="NoSpacing"/>
              <w:numPr>
                <w:ilvl w:val="1"/>
                <w:numId w:val="11"/>
              </w:numPr>
            </w:pPr>
            <w:proofErr w:type="spellStart"/>
            <w:r>
              <w:t>Hyperpiesis</w:t>
            </w:r>
            <w:proofErr w:type="spellEnd"/>
          </w:p>
          <w:p w14:paraId="178FE44F" w14:textId="77777777" w:rsidR="00A04A14" w:rsidRDefault="00A04A14" w:rsidP="00DE0604">
            <w:pPr>
              <w:pStyle w:val="NoSpacing"/>
            </w:pPr>
          </w:p>
          <w:p w14:paraId="6F79EE00" w14:textId="0A8985A5" w:rsidR="00A04A14" w:rsidRDefault="00A04A14" w:rsidP="00DE0604">
            <w:pPr>
              <w:pStyle w:val="NoSpacing"/>
              <w:numPr>
                <w:ilvl w:val="0"/>
                <w:numId w:val="16"/>
              </w:numPr>
              <w:ind w:left="702"/>
            </w:pPr>
            <w:r>
              <w:t xml:space="preserve">The notation of hypertension may appear anytime </w:t>
            </w:r>
            <w:r w:rsidRPr="00EC4E15">
              <w:rPr>
                <w:u w:val="single"/>
              </w:rPr>
              <w:t>on or before the last day of month 6 of the measurement year, including prior to the measurement year</w:t>
            </w:r>
            <w:r>
              <w:t>. It does not matter if hypertension was treated or is currently being treated. Refer to the original measure documentation for further details.</w:t>
            </w:r>
          </w:p>
          <w:p w14:paraId="235AAB23" w14:textId="77825A94" w:rsidR="00A04A14" w:rsidRPr="00051DAD" w:rsidRDefault="00A04A14" w:rsidP="00521854">
            <w:pPr>
              <w:pStyle w:val="NoSpacing"/>
              <w:numPr>
                <w:ilvl w:val="0"/>
                <w:numId w:val="12"/>
              </w:numPr>
            </w:pPr>
            <w:r>
              <w:t>The patient must have at least one encounter with the provider in the 12 month period prior to the measurement period</w:t>
            </w:r>
          </w:p>
        </w:tc>
      </w:tr>
      <w:tr w:rsidR="00A04A14" w14:paraId="67E3A2EB" w14:textId="77777777" w:rsidTr="00B05CBF">
        <w:trPr>
          <w:trHeight w:val="710"/>
        </w:trPr>
        <w:tc>
          <w:tcPr>
            <w:tcW w:w="2718" w:type="dxa"/>
          </w:tcPr>
          <w:p w14:paraId="66EDBD2E" w14:textId="77777777" w:rsidR="00A04A14" w:rsidRPr="00717546" w:rsidRDefault="00A04A14" w:rsidP="00C01E6F">
            <w:pPr>
              <w:pStyle w:val="NoSpacing"/>
              <w:rPr>
                <w:b/>
              </w:rPr>
            </w:pPr>
            <w:r>
              <w:rPr>
                <w:b/>
              </w:rPr>
              <w:lastRenderedPageBreak/>
              <w:t>Denominator Exclusions</w:t>
            </w:r>
          </w:p>
        </w:tc>
        <w:tc>
          <w:tcPr>
            <w:tcW w:w="6858" w:type="dxa"/>
          </w:tcPr>
          <w:p w14:paraId="497F76E9" w14:textId="103DE51E" w:rsidR="00A04A14" w:rsidRDefault="00A04A14" w:rsidP="00476A01">
            <w:pPr>
              <w:pStyle w:val="NoSpacing"/>
              <w:numPr>
                <w:ilvl w:val="0"/>
                <w:numId w:val="10"/>
              </w:numPr>
            </w:pPr>
            <w:r>
              <w:t xml:space="preserve">Exclude all patients with evidence of end-stage renal disease (ESRD) or kidney transplant on or prior to the end of the measurement year. Documentation in the medical record must include a related note indicating evidence of ESRD. Documentation of dialysis or renal transplant also meets the criteria for evidence of ESRD. </w:t>
            </w:r>
          </w:p>
          <w:p w14:paraId="3A01A362" w14:textId="77777777" w:rsidR="00A04A14" w:rsidRDefault="00A04A14" w:rsidP="00476A01">
            <w:pPr>
              <w:pStyle w:val="NoSpacing"/>
              <w:numPr>
                <w:ilvl w:val="0"/>
                <w:numId w:val="10"/>
              </w:numPr>
            </w:pPr>
            <w:r>
              <w:t>Exclude all patients with a diagnosis of pregnancy during the measurement year.</w:t>
            </w:r>
          </w:p>
          <w:p w14:paraId="6BE5BF2A" w14:textId="513034FD" w:rsidR="00A04A14" w:rsidRPr="001D6BEA" w:rsidRDefault="00A04A14" w:rsidP="00476A01">
            <w:pPr>
              <w:pStyle w:val="NoSpacing"/>
              <w:numPr>
                <w:ilvl w:val="0"/>
                <w:numId w:val="10"/>
              </w:numPr>
            </w:pPr>
            <w:r>
              <w:t>Exclude all patients who had an admission to a non-acute inpatient setting during the measurement year.</w:t>
            </w:r>
          </w:p>
        </w:tc>
      </w:tr>
      <w:tr w:rsidR="00A04A14" w14:paraId="38079CE4" w14:textId="77777777" w:rsidTr="00A374B8">
        <w:tc>
          <w:tcPr>
            <w:tcW w:w="2718" w:type="dxa"/>
          </w:tcPr>
          <w:p w14:paraId="22EE0A88" w14:textId="77777777" w:rsidR="00A04A14" w:rsidRDefault="00A04A14" w:rsidP="00AF103E">
            <w:pPr>
              <w:pStyle w:val="NoSpacing"/>
              <w:rPr>
                <w:b/>
              </w:rPr>
            </w:pPr>
            <w:r>
              <w:rPr>
                <w:b/>
              </w:rPr>
              <w:t>Denominator Size</w:t>
            </w:r>
          </w:p>
        </w:tc>
        <w:tc>
          <w:tcPr>
            <w:tcW w:w="6858" w:type="dxa"/>
          </w:tcPr>
          <w:p w14:paraId="2116D23C" w14:textId="58D8CD8D" w:rsidR="00A04A14" w:rsidRDefault="00A04A14" w:rsidP="00D63CD3">
            <w:pPr>
              <w:pStyle w:val="NoSpacing"/>
            </w:pPr>
            <w:r>
              <w:t>Providers</w:t>
            </w:r>
            <w:r w:rsidRPr="00D63CD3">
              <w:t xml:space="preserve"> must report a </w:t>
            </w:r>
            <w:r>
              <w:t xml:space="preserve">minimum of 30 cases per measure during a 12-month measurement period </w:t>
            </w:r>
          </w:p>
          <w:p w14:paraId="038BFE93" w14:textId="4AB4D7FC" w:rsidR="00A04A14" w:rsidRDefault="00A04A14" w:rsidP="0032246B">
            <w:pPr>
              <w:pStyle w:val="NoSpacing"/>
              <w:numPr>
                <w:ilvl w:val="0"/>
                <w:numId w:val="8"/>
              </w:numPr>
            </w:pPr>
            <w:r>
              <w:t>For a measurement period where the denominator size is less than or equal to 75, providers must report on all cases. No sampling is allowed.</w:t>
            </w:r>
          </w:p>
          <w:p w14:paraId="2CB1F86A" w14:textId="15140DAA" w:rsidR="00A04A14" w:rsidRDefault="00A04A14" w:rsidP="0032246B">
            <w:pPr>
              <w:pStyle w:val="NoSpacing"/>
              <w:numPr>
                <w:ilvl w:val="0"/>
                <w:numId w:val="8"/>
              </w:numPr>
            </w:pPr>
            <w:r>
              <w:t>For a measurement period where the denominator size is less than or equal to 380 but greater than 75, providers must report on all cases (preferred, particularly for providers using an electronic health record) or a random sample of not less than 76 cases.</w:t>
            </w:r>
          </w:p>
          <w:p w14:paraId="4293B806" w14:textId="304CB9B8" w:rsidR="00A04A14" w:rsidRPr="001D6BEA" w:rsidRDefault="00A04A14" w:rsidP="00203E5F">
            <w:pPr>
              <w:pStyle w:val="NoSpacing"/>
              <w:numPr>
                <w:ilvl w:val="0"/>
                <w:numId w:val="8"/>
              </w:numPr>
            </w:pPr>
            <w:r>
              <w:t xml:space="preserve">For a measurement period where the denominator size is greater than 380, providers must report on all cases (preferred, particularly for providers using an electronic health record) or a random sample of cases that is not less than 20% of all cases; however, providers may cap the total sample size at 300 cases. </w:t>
            </w:r>
          </w:p>
        </w:tc>
      </w:tr>
      <w:tr w:rsidR="00A04A14" w14:paraId="3B9678E1" w14:textId="77777777" w:rsidTr="00A374B8">
        <w:tc>
          <w:tcPr>
            <w:tcW w:w="2718" w:type="dxa"/>
          </w:tcPr>
          <w:p w14:paraId="171AA116" w14:textId="77777777" w:rsidR="00A04A14" w:rsidRPr="00717546" w:rsidRDefault="00A04A14" w:rsidP="00AF103E">
            <w:pPr>
              <w:pStyle w:val="NoSpacing"/>
              <w:rPr>
                <w:b/>
              </w:rPr>
            </w:pPr>
            <w:r>
              <w:rPr>
                <w:b/>
              </w:rPr>
              <w:t xml:space="preserve">Numerator Description </w:t>
            </w:r>
          </w:p>
        </w:tc>
        <w:tc>
          <w:tcPr>
            <w:tcW w:w="6858" w:type="dxa"/>
          </w:tcPr>
          <w:p w14:paraId="73A27CB1" w14:textId="77777777" w:rsidR="00A04A14" w:rsidRPr="009F7E66" w:rsidRDefault="00A04A14" w:rsidP="00AF103E">
            <w:pPr>
              <w:pStyle w:val="NoSpacing"/>
            </w:pPr>
            <w:r w:rsidRPr="00476A01">
              <w:t xml:space="preserve">The number of patients in the denominator </w:t>
            </w:r>
            <w:proofErr w:type="gramStart"/>
            <w:r w:rsidRPr="00476A01">
              <w:t>whose</w:t>
            </w:r>
            <w:proofErr w:type="gramEnd"/>
            <w:r w:rsidRPr="00476A01">
              <w:t xml:space="preserve"> most recent BP is adequately controlled during the measurement year. For a patient’s BP to be controlled, both the systolic and diastolic BP must be &lt;140/90 (adequate control). To determine if a patient’s BP is adequately controlled, the representative BP must be identified.</w:t>
            </w:r>
          </w:p>
        </w:tc>
      </w:tr>
      <w:tr w:rsidR="00A04A14" w14:paraId="753924A9" w14:textId="77777777" w:rsidTr="00A374B8">
        <w:tc>
          <w:tcPr>
            <w:tcW w:w="2718" w:type="dxa"/>
          </w:tcPr>
          <w:p w14:paraId="16A81CD8" w14:textId="77777777" w:rsidR="00A04A14" w:rsidRPr="00717546" w:rsidRDefault="00A04A14" w:rsidP="00AF103E">
            <w:pPr>
              <w:pStyle w:val="NoSpacing"/>
              <w:rPr>
                <w:b/>
              </w:rPr>
            </w:pPr>
            <w:r>
              <w:rPr>
                <w:b/>
              </w:rPr>
              <w:t>Numerator Inclusions</w:t>
            </w:r>
          </w:p>
        </w:tc>
        <w:tc>
          <w:tcPr>
            <w:tcW w:w="6858" w:type="dxa"/>
          </w:tcPr>
          <w:p w14:paraId="4A673A6C" w14:textId="3D8C5291" w:rsidR="00A04A14" w:rsidRPr="0012650D" w:rsidRDefault="00A04A14" w:rsidP="009F6F15">
            <w:pPr>
              <w:pStyle w:val="NoSpacing"/>
              <w:numPr>
                <w:ilvl w:val="0"/>
                <w:numId w:val="13"/>
              </w:numPr>
              <w:rPr>
                <w:b/>
              </w:rPr>
            </w:pPr>
            <w:r>
              <w:t xml:space="preserve">Note: Representative BP: The most recent BP reading during the measurement year (as long as it occurred after the diagnosis of </w:t>
            </w:r>
            <w:r>
              <w:lastRenderedPageBreak/>
              <w:t>hypertension was made). If multiple measurements occur on the same date, or are noted in the chart on the same date, the lowest systolic and lowest diastolic BP reading should be used. If no BP is recorded during the measurement year, assume that the member is "not controlled".</w:t>
            </w:r>
          </w:p>
        </w:tc>
      </w:tr>
      <w:tr w:rsidR="00A04A14" w14:paraId="184874AB" w14:textId="77777777" w:rsidTr="00A374B8">
        <w:tc>
          <w:tcPr>
            <w:tcW w:w="2718" w:type="dxa"/>
          </w:tcPr>
          <w:p w14:paraId="2C406906" w14:textId="77777777" w:rsidR="00A04A14" w:rsidRPr="00717546" w:rsidRDefault="00A04A14" w:rsidP="00AF103E">
            <w:pPr>
              <w:pStyle w:val="NoSpacing"/>
              <w:rPr>
                <w:b/>
              </w:rPr>
            </w:pPr>
            <w:r>
              <w:rPr>
                <w:b/>
              </w:rPr>
              <w:lastRenderedPageBreak/>
              <w:t>Numerator Exclusions</w:t>
            </w:r>
          </w:p>
        </w:tc>
        <w:tc>
          <w:tcPr>
            <w:tcW w:w="6858" w:type="dxa"/>
          </w:tcPr>
          <w:p w14:paraId="21CB8726" w14:textId="02455361" w:rsidR="00A04A14" w:rsidRPr="009F6F15" w:rsidRDefault="00A04A14" w:rsidP="00EC4E15">
            <w:pPr>
              <w:spacing w:line="240" w:lineRule="auto"/>
            </w:pPr>
            <w:r w:rsidRPr="009F6F15">
              <w:t xml:space="preserve">Do not include </w:t>
            </w:r>
            <w:r>
              <w:t>blood pressure (</w:t>
            </w:r>
            <w:r w:rsidRPr="009F6F15">
              <w:t>BP</w:t>
            </w:r>
            <w:r>
              <w:t>)</w:t>
            </w:r>
            <w:r w:rsidRPr="009F6F15">
              <w:t xml:space="preserve"> readings:</w:t>
            </w:r>
          </w:p>
          <w:p w14:paraId="180C8F9A" w14:textId="77777777" w:rsidR="00A04A14" w:rsidRPr="009F6F15" w:rsidRDefault="00A04A14" w:rsidP="00EC4E15">
            <w:pPr>
              <w:pStyle w:val="ListParagraph"/>
              <w:numPr>
                <w:ilvl w:val="0"/>
                <w:numId w:val="15"/>
              </w:numPr>
              <w:spacing w:line="240" w:lineRule="auto"/>
            </w:pPr>
            <w:r w:rsidRPr="009F6F15">
              <w:t xml:space="preserve">Taken during an acute inpatient stay or an emergency department (ED) visit </w:t>
            </w:r>
          </w:p>
          <w:p w14:paraId="34EDD5C5" w14:textId="77777777" w:rsidR="00A04A14" w:rsidRPr="009F6F15" w:rsidRDefault="00A04A14" w:rsidP="00EC4E15">
            <w:pPr>
              <w:pStyle w:val="ListParagraph"/>
              <w:numPr>
                <w:ilvl w:val="0"/>
                <w:numId w:val="15"/>
              </w:numPr>
              <w:spacing w:line="240" w:lineRule="auto"/>
            </w:pPr>
            <w:r w:rsidRPr="009F6F15">
              <w:t xml:space="preserve">Taken during an outpatient visit which was for the sole purpose of having a diagnostic test or surgical procedure performed (e.g., </w:t>
            </w:r>
            <w:proofErr w:type="spellStart"/>
            <w:r w:rsidRPr="009F6F15">
              <w:t>sigmoidoscopy</w:t>
            </w:r>
            <w:proofErr w:type="spellEnd"/>
            <w:r w:rsidRPr="009F6F15">
              <w:t xml:space="preserve">, removal of a mole) </w:t>
            </w:r>
          </w:p>
          <w:p w14:paraId="232EC3B4" w14:textId="77777777" w:rsidR="00A04A14" w:rsidRPr="009F6F15" w:rsidRDefault="00A04A14" w:rsidP="00EC4E15">
            <w:pPr>
              <w:pStyle w:val="ListParagraph"/>
              <w:numPr>
                <w:ilvl w:val="0"/>
                <w:numId w:val="15"/>
              </w:numPr>
              <w:spacing w:line="240" w:lineRule="auto"/>
            </w:pPr>
            <w:r w:rsidRPr="009F6F15">
              <w:t xml:space="preserve">Obtained the same day as a major diagnostic or surgical procedure (e.g., stress test, administration of intravenous [IV] contrast for a radiology procedure, endoscopy) </w:t>
            </w:r>
          </w:p>
          <w:p w14:paraId="5416A1C3" w14:textId="77777777" w:rsidR="00A04A14" w:rsidRPr="009F6F15" w:rsidRDefault="00A04A14" w:rsidP="00EC4E15">
            <w:pPr>
              <w:pStyle w:val="ListParagraph"/>
              <w:numPr>
                <w:ilvl w:val="0"/>
                <w:numId w:val="15"/>
              </w:numPr>
              <w:spacing w:line="240" w:lineRule="auto"/>
            </w:pPr>
            <w:r w:rsidRPr="009F6F15">
              <w:t xml:space="preserve">Reported by or taken by the member </w:t>
            </w:r>
          </w:p>
          <w:p w14:paraId="3E09C7F2" w14:textId="6EE24353" w:rsidR="00A04A14" w:rsidRPr="001D6BEA" w:rsidRDefault="00A04A14" w:rsidP="00EC4E15">
            <w:pPr>
              <w:spacing w:line="240" w:lineRule="auto"/>
            </w:pPr>
            <w:r w:rsidRPr="009F6F15">
              <w:t xml:space="preserve">The </w:t>
            </w:r>
            <w:r>
              <w:t>patient</w:t>
            </w:r>
            <w:r w:rsidRPr="009F6F15">
              <w:t xml:space="preserve"> is not compliant if the BP reading is greater than or equal to 140/90 or is missing, or if there is no BP reading during the measurement year or if the reading is incomplete (e.g., the systolic or diastolic level if missing).</w:t>
            </w:r>
          </w:p>
        </w:tc>
      </w:tr>
      <w:tr w:rsidR="00A04A14" w14:paraId="50E6DF9C" w14:textId="77777777" w:rsidTr="00A374B8">
        <w:tc>
          <w:tcPr>
            <w:tcW w:w="2718" w:type="dxa"/>
          </w:tcPr>
          <w:p w14:paraId="2EB09139" w14:textId="77777777" w:rsidR="00A04A14" w:rsidRPr="00717546" w:rsidRDefault="00A04A14" w:rsidP="00A374B8">
            <w:pPr>
              <w:pStyle w:val="NoSpacing"/>
              <w:rPr>
                <w:b/>
              </w:rPr>
            </w:pPr>
            <w:r>
              <w:rPr>
                <w:b/>
              </w:rPr>
              <w:t>Setting</w:t>
            </w:r>
          </w:p>
        </w:tc>
        <w:tc>
          <w:tcPr>
            <w:tcW w:w="6858" w:type="dxa"/>
          </w:tcPr>
          <w:p w14:paraId="46C00E06" w14:textId="77777777" w:rsidR="00A04A14" w:rsidRDefault="00A04A14" w:rsidP="004C6722">
            <w:pPr>
              <w:pStyle w:val="NoSpacing"/>
            </w:pPr>
            <w:r>
              <w:t>Ambulatory</w:t>
            </w:r>
          </w:p>
        </w:tc>
      </w:tr>
      <w:tr w:rsidR="00A04A14" w14:paraId="0A2A6BA8" w14:textId="77777777" w:rsidTr="00A374B8">
        <w:tc>
          <w:tcPr>
            <w:tcW w:w="2718" w:type="dxa"/>
          </w:tcPr>
          <w:p w14:paraId="441D3EEF" w14:textId="77777777" w:rsidR="00A04A14" w:rsidRDefault="00A04A14" w:rsidP="00A374B8">
            <w:pPr>
              <w:pStyle w:val="NoSpacing"/>
              <w:rPr>
                <w:b/>
              </w:rPr>
            </w:pPr>
            <w:r>
              <w:rPr>
                <w:b/>
              </w:rPr>
              <w:t>Data Source</w:t>
            </w:r>
          </w:p>
        </w:tc>
        <w:tc>
          <w:tcPr>
            <w:tcW w:w="6858" w:type="dxa"/>
          </w:tcPr>
          <w:p w14:paraId="310439CE" w14:textId="77777777" w:rsidR="00A04A14" w:rsidRDefault="00A04A14" w:rsidP="004C6722">
            <w:pPr>
              <w:pStyle w:val="NoSpacing"/>
            </w:pPr>
            <w:r>
              <w:t xml:space="preserve">Administrative/Clinical data sources, electronic clinical data, paper medical records </w:t>
            </w:r>
          </w:p>
        </w:tc>
      </w:tr>
      <w:tr w:rsidR="00A04A14" w14:paraId="02EF7E99" w14:textId="77777777" w:rsidTr="00A374B8">
        <w:tc>
          <w:tcPr>
            <w:tcW w:w="2718" w:type="dxa"/>
          </w:tcPr>
          <w:p w14:paraId="1870BB04" w14:textId="793DB837" w:rsidR="00A04A14" w:rsidRPr="00717546" w:rsidRDefault="00A04A14" w:rsidP="00F05C01">
            <w:pPr>
              <w:pStyle w:val="NoSpacing"/>
              <w:rPr>
                <w:b/>
              </w:rPr>
            </w:pPr>
            <w:r>
              <w:rPr>
                <w:b/>
              </w:rPr>
              <w:t>Allowable Denominator Sub-sets</w:t>
            </w:r>
          </w:p>
        </w:tc>
        <w:tc>
          <w:tcPr>
            <w:tcW w:w="6858" w:type="dxa"/>
          </w:tcPr>
          <w:p w14:paraId="2BC80756" w14:textId="77777777" w:rsidR="00A04A14" w:rsidRDefault="00A04A14" w:rsidP="00283705">
            <w:pPr>
              <w:pStyle w:val="NoSpacing"/>
            </w:pPr>
            <w:r>
              <w:t>All denominator subsets are permissible for this outcome</w:t>
            </w:r>
          </w:p>
          <w:p w14:paraId="02DD681B" w14:textId="31D99C1A" w:rsidR="00A04A14" w:rsidRDefault="00A04A14" w:rsidP="007F7C07">
            <w:pPr>
              <w:pStyle w:val="NoSpacing"/>
            </w:pPr>
            <w:r>
              <w:t> </w:t>
            </w:r>
          </w:p>
        </w:tc>
      </w:tr>
    </w:tbl>
    <w:p w14:paraId="749EC892" w14:textId="77777777" w:rsidR="00356CF4" w:rsidRPr="008F249E" w:rsidRDefault="00356CF4" w:rsidP="007C7C85">
      <w:pPr>
        <w:pStyle w:val="Heading2"/>
      </w:pPr>
    </w:p>
    <w:sectPr w:rsidR="00356CF4" w:rsidRPr="008F249E">
      <w:footerReference w:type="defaul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45431A" w15:done="0"/>
  <w15:commentEx w15:paraId="7B2BE9D9" w15:done="0"/>
  <w15:commentEx w15:paraId="5EB72CE1" w15:done="0"/>
  <w15:commentEx w15:paraId="3441A81A" w15:done="0"/>
  <w15:commentEx w15:paraId="625D2F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6CE8B" w14:textId="77777777" w:rsidR="00334807" w:rsidRDefault="00334807" w:rsidP="00F63191">
      <w:pPr>
        <w:spacing w:after="0" w:line="240" w:lineRule="auto"/>
      </w:pPr>
      <w:r>
        <w:separator/>
      </w:r>
    </w:p>
  </w:endnote>
  <w:endnote w:type="continuationSeparator" w:id="0">
    <w:p w14:paraId="0FBF816F" w14:textId="77777777" w:rsidR="00334807" w:rsidRDefault="00334807" w:rsidP="00F6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B2C8E" w14:textId="13F281B6" w:rsidR="0014789D" w:rsidRDefault="0014789D">
    <w:pPr>
      <w:pStyle w:val="Footer"/>
    </w:pPr>
    <w:r>
      <w:t>9/1</w:t>
    </w:r>
    <w:r w:rsidR="00990255">
      <w:t>8</w:t>
    </w:r>
    <w:r>
      <w:t>/14</w:t>
    </w:r>
  </w:p>
  <w:p w14:paraId="5190BBB3" w14:textId="77777777" w:rsidR="002E14AF" w:rsidRDefault="002E1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C3D72" w14:textId="77777777" w:rsidR="00334807" w:rsidRDefault="00334807" w:rsidP="00F63191">
      <w:pPr>
        <w:spacing w:after="0" w:line="240" w:lineRule="auto"/>
      </w:pPr>
      <w:r>
        <w:separator/>
      </w:r>
    </w:p>
  </w:footnote>
  <w:footnote w:type="continuationSeparator" w:id="0">
    <w:p w14:paraId="250ED995" w14:textId="77777777" w:rsidR="00334807" w:rsidRDefault="00334807" w:rsidP="00F63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2B61"/>
    <w:multiLevelType w:val="hybridMultilevel"/>
    <w:tmpl w:val="C468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97CC7"/>
    <w:multiLevelType w:val="hybridMultilevel"/>
    <w:tmpl w:val="7E0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C5B93"/>
    <w:multiLevelType w:val="hybridMultilevel"/>
    <w:tmpl w:val="1E6C9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EA4FDE"/>
    <w:multiLevelType w:val="hybridMultilevel"/>
    <w:tmpl w:val="58D69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B736DD"/>
    <w:multiLevelType w:val="hybridMultilevel"/>
    <w:tmpl w:val="E34C5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57262"/>
    <w:multiLevelType w:val="hybridMultilevel"/>
    <w:tmpl w:val="EADE0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CD250D5"/>
    <w:multiLevelType w:val="hybridMultilevel"/>
    <w:tmpl w:val="A396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261499"/>
    <w:multiLevelType w:val="hybridMultilevel"/>
    <w:tmpl w:val="C9A67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8E5838"/>
    <w:multiLevelType w:val="hybridMultilevel"/>
    <w:tmpl w:val="55B20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1230B50"/>
    <w:multiLevelType w:val="hybridMultilevel"/>
    <w:tmpl w:val="4DE23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A31801"/>
    <w:multiLevelType w:val="hybridMultilevel"/>
    <w:tmpl w:val="09F2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47337A"/>
    <w:multiLevelType w:val="hybridMultilevel"/>
    <w:tmpl w:val="3A48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7D14B6"/>
    <w:multiLevelType w:val="hybridMultilevel"/>
    <w:tmpl w:val="8078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AC7387"/>
    <w:multiLevelType w:val="hybridMultilevel"/>
    <w:tmpl w:val="8B48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B82C1A"/>
    <w:multiLevelType w:val="hybridMultilevel"/>
    <w:tmpl w:val="2346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B96BCE"/>
    <w:multiLevelType w:val="multilevel"/>
    <w:tmpl w:val="F742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53318C3"/>
    <w:multiLevelType w:val="hybridMultilevel"/>
    <w:tmpl w:val="F7F62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F37E71"/>
    <w:multiLevelType w:val="hybridMultilevel"/>
    <w:tmpl w:val="1D3E4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4"/>
  </w:num>
  <w:num w:numId="4">
    <w:abstractNumId w:val="13"/>
  </w:num>
  <w:num w:numId="5">
    <w:abstractNumId w:val="4"/>
  </w:num>
  <w:num w:numId="6">
    <w:abstractNumId w:val="9"/>
  </w:num>
  <w:num w:numId="7">
    <w:abstractNumId w:val="17"/>
  </w:num>
  <w:num w:numId="8">
    <w:abstractNumId w:val="10"/>
  </w:num>
  <w:num w:numId="9">
    <w:abstractNumId w:val="12"/>
  </w:num>
  <w:num w:numId="10">
    <w:abstractNumId w:val="6"/>
  </w:num>
  <w:num w:numId="11">
    <w:abstractNumId w:val="2"/>
  </w:num>
  <w:num w:numId="12">
    <w:abstractNumId w:val="7"/>
  </w:num>
  <w:num w:numId="13">
    <w:abstractNumId w:val="11"/>
  </w:num>
  <w:num w:numId="14">
    <w:abstractNumId w:val="15"/>
  </w:num>
  <w:num w:numId="15">
    <w:abstractNumId w:val="16"/>
  </w:num>
  <w:num w:numId="16">
    <w:abstractNumId w:val="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na Ketchel">
    <w15:presenceInfo w15:providerId="AD" w15:userId="S-1-5-21-565777859-672028841-965413785-118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6B"/>
    <w:rsid w:val="00051DAD"/>
    <w:rsid w:val="000C575F"/>
    <w:rsid w:val="000D1199"/>
    <w:rsid w:val="000D5A2D"/>
    <w:rsid w:val="000E7EED"/>
    <w:rsid w:val="00100A2F"/>
    <w:rsid w:val="00107C1A"/>
    <w:rsid w:val="0011709A"/>
    <w:rsid w:val="0014789D"/>
    <w:rsid w:val="00165D76"/>
    <w:rsid w:val="001D0C8D"/>
    <w:rsid w:val="001D6BEA"/>
    <w:rsid w:val="00203E5F"/>
    <w:rsid w:val="002224F0"/>
    <w:rsid w:val="00234FE1"/>
    <w:rsid w:val="00245754"/>
    <w:rsid w:val="00271E53"/>
    <w:rsid w:val="002845C2"/>
    <w:rsid w:val="002D21AE"/>
    <w:rsid w:val="002E14AF"/>
    <w:rsid w:val="002F5D17"/>
    <w:rsid w:val="0032246B"/>
    <w:rsid w:val="00334807"/>
    <w:rsid w:val="00346B8D"/>
    <w:rsid w:val="00356CF4"/>
    <w:rsid w:val="0036339B"/>
    <w:rsid w:val="00366D0B"/>
    <w:rsid w:val="00375652"/>
    <w:rsid w:val="00383516"/>
    <w:rsid w:val="003844DB"/>
    <w:rsid w:val="003A409E"/>
    <w:rsid w:val="003F4E8D"/>
    <w:rsid w:val="0041182D"/>
    <w:rsid w:val="00416E44"/>
    <w:rsid w:val="00476A01"/>
    <w:rsid w:val="004C6722"/>
    <w:rsid w:val="004D0765"/>
    <w:rsid w:val="004D213A"/>
    <w:rsid w:val="00502BE4"/>
    <w:rsid w:val="00506BC5"/>
    <w:rsid w:val="00521854"/>
    <w:rsid w:val="00536799"/>
    <w:rsid w:val="005802A0"/>
    <w:rsid w:val="005857E6"/>
    <w:rsid w:val="005B79DD"/>
    <w:rsid w:val="005C70A1"/>
    <w:rsid w:val="005F4D43"/>
    <w:rsid w:val="00674543"/>
    <w:rsid w:val="006C2BB0"/>
    <w:rsid w:val="006D017A"/>
    <w:rsid w:val="006F6B64"/>
    <w:rsid w:val="007164C7"/>
    <w:rsid w:val="00743628"/>
    <w:rsid w:val="00760D27"/>
    <w:rsid w:val="007C728B"/>
    <w:rsid w:val="007C7C85"/>
    <w:rsid w:val="007E0395"/>
    <w:rsid w:val="007F675B"/>
    <w:rsid w:val="007F7C07"/>
    <w:rsid w:val="00823868"/>
    <w:rsid w:val="00827557"/>
    <w:rsid w:val="008446A8"/>
    <w:rsid w:val="008722BB"/>
    <w:rsid w:val="008779F5"/>
    <w:rsid w:val="0088642E"/>
    <w:rsid w:val="00886E0E"/>
    <w:rsid w:val="008A2A64"/>
    <w:rsid w:val="008A5405"/>
    <w:rsid w:val="008D1A8E"/>
    <w:rsid w:val="008F0411"/>
    <w:rsid w:val="008F249E"/>
    <w:rsid w:val="009519DA"/>
    <w:rsid w:val="00965A2A"/>
    <w:rsid w:val="00967948"/>
    <w:rsid w:val="00990255"/>
    <w:rsid w:val="00994A41"/>
    <w:rsid w:val="00996DD5"/>
    <w:rsid w:val="009C6EA3"/>
    <w:rsid w:val="009F04D0"/>
    <w:rsid w:val="009F6F15"/>
    <w:rsid w:val="009F78A7"/>
    <w:rsid w:val="009F7E66"/>
    <w:rsid w:val="00A04A14"/>
    <w:rsid w:val="00A11BD9"/>
    <w:rsid w:val="00A82574"/>
    <w:rsid w:val="00AC3A97"/>
    <w:rsid w:val="00AD706B"/>
    <w:rsid w:val="00AF3A3D"/>
    <w:rsid w:val="00AF57FE"/>
    <w:rsid w:val="00B05CBF"/>
    <w:rsid w:val="00B20462"/>
    <w:rsid w:val="00B546CF"/>
    <w:rsid w:val="00B65D92"/>
    <w:rsid w:val="00BA61F1"/>
    <w:rsid w:val="00BC4643"/>
    <w:rsid w:val="00C01E6F"/>
    <w:rsid w:val="00C12BB9"/>
    <w:rsid w:val="00C86C48"/>
    <w:rsid w:val="00C9758A"/>
    <w:rsid w:val="00CA2D3E"/>
    <w:rsid w:val="00CA4C08"/>
    <w:rsid w:val="00CC28BC"/>
    <w:rsid w:val="00CD7069"/>
    <w:rsid w:val="00CF7598"/>
    <w:rsid w:val="00D1777E"/>
    <w:rsid w:val="00D2624A"/>
    <w:rsid w:val="00D63CD3"/>
    <w:rsid w:val="00DB7651"/>
    <w:rsid w:val="00DC2C27"/>
    <w:rsid w:val="00DE0604"/>
    <w:rsid w:val="00DE660A"/>
    <w:rsid w:val="00E43145"/>
    <w:rsid w:val="00E56FFC"/>
    <w:rsid w:val="00EB6678"/>
    <w:rsid w:val="00EC4E15"/>
    <w:rsid w:val="00EF333D"/>
    <w:rsid w:val="00F05C01"/>
    <w:rsid w:val="00F069C3"/>
    <w:rsid w:val="00F06C5E"/>
    <w:rsid w:val="00F20443"/>
    <w:rsid w:val="00F63191"/>
    <w:rsid w:val="00F64CD1"/>
    <w:rsid w:val="00F752A8"/>
    <w:rsid w:val="00F7697C"/>
    <w:rsid w:val="00F927B0"/>
    <w:rsid w:val="00FE2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12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character" w:styleId="FollowedHyperlink">
    <w:name w:val="FollowedHyperlink"/>
    <w:basedOn w:val="DefaultParagraphFont"/>
    <w:uiPriority w:val="99"/>
    <w:semiHidden/>
    <w:unhideWhenUsed/>
    <w:rsid w:val="00C12BB9"/>
    <w:rPr>
      <w:color w:val="800080" w:themeColor="followedHyperlink"/>
      <w:u w:val="single"/>
    </w:rPr>
  </w:style>
  <w:style w:type="paragraph" w:styleId="NormalWeb">
    <w:name w:val="Normal (Web)"/>
    <w:basedOn w:val="Normal"/>
    <w:uiPriority w:val="99"/>
    <w:semiHidden/>
    <w:unhideWhenUsed/>
    <w:rsid w:val="009F6F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6F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character" w:styleId="FollowedHyperlink">
    <w:name w:val="FollowedHyperlink"/>
    <w:basedOn w:val="DefaultParagraphFont"/>
    <w:uiPriority w:val="99"/>
    <w:semiHidden/>
    <w:unhideWhenUsed/>
    <w:rsid w:val="00C12BB9"/>
    <w:rPr>
      <w:color w:val="800080" w:themeColor="followedHyperlink"/>
      <w:u w:val="single"/>
    </w:rPr>
  </w:style>
  <w:style w:type="paragraph" w:styleId="NormalWeb">
    <w:name w:val="Normal (Web)"/>
    <w:basedOn w:val="Normal"/>
    <w:uiPriority w:val="99"/>
    <w:semiHidden/>
    <w:unhideWhenUsed/>
    <w:rsid w:val="009F6F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6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1024">
      <w:bodyDiv w:val="1"/>
      <w:marLeft w:val="0"/>
      <w:marRight w:val="0"/>
      <w:marTop w:val="0"/>
      <w:marBottom w:val="0"/>
      <w:divBdr>
        <w:top w:val="none" w:sz="0" w:space="0" w:color="auto"/>
        <w:left w:val="none" w:sz="0" w:space="0" w:color="auto"/>
        <w:bottom w:val="none" w:sz="0" w:space="0" w:color="auto"/>
        <w:right w:val="none" w:sz="0" w:space="0" w:color="auto"/>
      </w:divBdr>
    </w:div>
    <w:div w:id="150409683">
      <w:bodyDiv w:val="1"/>
      <w:marLeft w:val="0"/>
      <w:marRight w:val="0"/>
      <w:marTop w:val="0"/>
      <w:marBottom w:val="0"/>
      <w:divBdr>
        <w:top w:val="none" w:sz="0" w:space="0" w:color="auto"/>
        <w:left w:val="none" w:sz="0" w:space="0" w:color="auto"/>
        <w:bottom w:val="none" w:sz="0" w:space="0" w:color="auto"/>
        <w:right w:val="none" w:sz="0" w:space="0" w:color="auto"/>
      </w:divBdr>
    </w:div>
    <w:div w:id="408120376">
      <w:bodyDiv w:val="1"/>
      <w:marLeft w:val="0"/>
      <w:marRight w:val="0"/>
      <w:marTop w:val="0"/>
      <w:marBottom w:val="0"/>
      <w:divBdr>
        <w:top w:val="none" w:sz="0" w:space="0" w:color="auto"/>
        <w:left w:val="none" w:sz="0" w:space="0" w:color="auto"/>
        <w:bottom w:val="none" w:sz="0" w:space="0" w:color="auto"/>
        <w:right w:val="none" w:sz="0" w:space="0" w:color="auto"/>
      </w:divBdr>
    </w:div>
    <w:div w:id="1253664085">
      <w:bodyDiv w:val="1"/>
      <w:marLeft w:val="0"/>
      <w:marRight w:val="0"/>
      <w:marTop w:val="0"/>
      <w:marBottom w:val="0"/>
      <w:divBdr>
        <w:top w:val="none" w:sz="0" w:space="0" w:color="auto"/>
        <w:left w:val="none" w:sz="0" w:space="0" w:color="auto"/>
        <w:bottom w:val="none" w:sz="0" w:space="0" w:color="auto"/>
        <w:right w:val="none" w:sz="0" w:space="0" w:color="auto"/>
      </w:divBdr>
    </w:div>
    <w:div w:id="1273632373">
      <w:bodyDiv w:val="1"/>
      <w:marLeft w:val="0"/>
      <w:marRight w:val="0"/>
      <w:marTop w:val="0"/>
      <w:marBottom w:val="0"/>
      <w:divBdr>
        <w:top w:val="none" w:sz="0" w:space="0" w:color="auto"/>
        <w:left w:val="none" w:sz="0" w:space="0" w:color="auto"/>
        <w:bottom w:val="none" w:sz="0" w:space="0" w:color="auto"/>
        <w:right w:val="none" w:sz="0" w:space="0" w:color="auto"/>
      </w:divBdr>
    </w:div>
    <w:div w:id="163309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qualitymeasures.ahrq.gov/popups/printView.aspx?id=47176"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qualityforum.org/QPS/0018"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079C9F2DB0E6419EBB9BE3C6F3B017" ma:contentTypeVersion="0" ma:contentTypeDescription="Create a new document." ma:contentTypeScope="" ma:versionID="077bd394d213835c910b5b1865298e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94F21-270C-4BEC-9DD2-38BA0D8F3A1E}">
  <ds:schemaRefs>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5B99C68-DD7E-444B-AD24-9F5931EDF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FA51883-A1A1-42AB-9880-D0FF15A283B6}">
  <ds:schemaRefs>
    <ds:schemaRef ds:uri="http://schemas.microsoft.com/sharepoint/v3/contenttype/forms"/>
  </ds:schemaRefs>
</ds:datastoreItem>
</file>

<file path=customXml/itemProps4.xml><?xml version="1.0" encoding="utf-8"?>
<ds:datastoreItem xmlns:ds="http://schemas.openxmlformats.org/officeDocument/2006/customXml" ds:itemID="{03745C9D-93D5-491E-ABA4-AF4C2442B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Woodard,Jennifer (HHSC)</dc:creator>
  <cp:lastModifiedBy>Windows User</cp:lastModifiedBy>
  <cp:revision>2</cp:revision>
  <cp:lastPrinted>2014-02-20T17:46:00Z</cp:lastPrinted>
  <dcterms:created xsi:type="dcterms:W3CDTF">2014-09-18T21:20:00Z</dcterms:created>
  <dcterms:modified xsi:type="dcterms:W3CDTF">2014-09-18T21:20:00Z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0x010100A5079C9F2DB0E6419EBB9BE3C6F3B017</vt:lpwstr>
  </property>
</Properties>
</file>