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73B2" w14:textId="0C6AB691" w:rsidR="00AD706B" w:rsidRDefault="00AD706B" w:rsidP="00AD706B">
      <w:pPr>
        <w:pStyle w:val="Heading1"/>
      </w:pPr>
      <w:r>
        <w:t>IT-</w:t>
      </w:r>
      <w:r w:rsidR="00817F28">
        <w:t>1.6</w:t>
      </w:r>
      <w:r>
        <w:t xml:space="preserve">:  </w:t>
      </w:r>
      <w:r w:rsidR="00817F28">
        <w:t>Cholesterol Management for Patients with Cardiovascular Conditions</w:t>
      </w:r>
    </w:p>
    <w:tbl>
      <w:tblPr>
        <w:tblStyle w:val="TableGrid"/>
        <w:tblW w:w="0" w:type="auto"/>
        <w:tblLook w:val="04A0" w:firstRow="1" w:lastRow="0" w:firstColumn="1" w:lastColumn="0" w:noHBand="0" w:noVBand="1"/>
      </w:tblPr>
      <w:tblGrid>
        <w:gridCol w:w="2538"/>
        <w:gridCol w:w="7038"/>
      </w:tblGrid>
      <w:tr w:rsidR="00AD706B" w14:paraId="780D73B5" w14:textId="77777777" w:rsidTr="0071629B">
        <w:trPr>
          <w:tblHeader/>
        </w:trPr>
        <w:tc>
          <w:tcPr>
            <w:tcW w:w="2538" w:type="dxa"/>
            <w:shd w:val="clear" w:color="auto" w:fill="F2F2F2" w:themeFill="background1" w:themeFillShade="F2"/>
          </w:tcPr>
          <w:p w14:paraId="780D73B3" w14:textId="77777777" w:rsidR="00AD706B" w:rsidRPr="00717546" w:rsidRDefault="00AD706B" w:rsidP="00A374B8">
            <w:pPr>
              <w:pStyle w:val="NoSpacing"/>
              <w:rPr>
                <w:b/>
              </w:rPr>
            </w:pPr>
            <w:r w:rsidRPr="00717546">
              <w:rPr>
                <w:b/>
              </w:rPr>
              <w:t>Measure Title</w:t>
            </w:r>
          </w:p>
        </w:tc>
        <w:tc>
          <w:tcPr>
            <w:tcW w:w="7038" w:type="dxa"/>
            <w:shd w:val="clear" w:color="auto" w:fill="F2F2F2" w:themeFill="background1" w:themeFillShade="F2"/>
          </w:tcPr>
          <w:p w14:paraId="780D73B4" w14:textId="6A2A8ECD" w:rsidR="00AD706B" w:rsidRPr="008779F5" w:rsidRDefault="00210039" w:rsidP="00B05CBF">
            <w:pPr>
              <w:pStyle w:val="NoSpacing"/>
              <w:rPr>
                <w:b/>
              </w:rPr>
            </w:pPr>
            <w:r>
              <w:rPr>
                <w:b/>
              </w:rPr>
              <w:t xml:space="preserve">IT-1.6 </w:t>
            </w:r>
            <w:r w:rsidR="00817F28" w:rsidRPr="00817F28">
              <w:rPr>
                <w:b/>
              </w:rPr>
              <w:t>Cholesterol Management for Patients with Cardiovascular Conditions</w:t>
            </w:r>
          </w:p>
        </w:tc>
      </w:tr>
      <w:tr w:rsidR="00AD706B" w14:paraId="780D73B8" w14:textId="77777777" w:rsidTr="0071629B">
        <w:tc>
          <w:tcPr>
            <w:tcW w:w="2538" w:type="dxa"/>
          </w:tcPr>
          <w:p w14:paraId="780D73B6" w14:textId="77777777" w:rsidR="00AD706B" w:rsidRPr="00717546" w:rsidRDefault="00AD706B" w:rsidP="00A374B8">
            <w:pPr>
              <w:pStyle w:val="NoSpacing"/>
              <w:rPr>
                <w:b/>
              </w:rPr>
            </w:pPr>
            <w:r w:rsidRPr="00717546">
              <w:rPr>
                <w:b/>
              </w:rPr>
              <w:t>Description</w:t>
            </w:r>
          </w:p>
        </w:tc>
        <w:tc>
          <w:tcPr>
            <w:tcW w:w="7038" w:type="dxa"/>
          </w:tcPr>
          <w:p w14:paraId="02824581" w14:textId="333C90C2" w:rsidR="00817F28" w:rsidRDefault="009315B1" w:rsidP="00817F28">
            <w:pPr>
              <w:pStyle w:val="NoSpacing"/>
            </w:pPr>
            <w:r>
              <w:t>P</w:t>
            </w:r>
            <w:r w:rsidR="00817F28">
              <w:t xml:space="preserve">ercentage of </w:t>
            </w:r>
            <w:r>
              <w:t xml:space="preserve">patients </w:t>
            </w:r>
            <w:r w:rsidR="00817F28">
              <w:t>18 to 75 years of age who were discharged alive for acute myocardial infarction (AMI), coronary artery bypass graft (CABG), or percutaneous coronary interventions (PCI) in the year prior to the measurement year, or who had a diagnosis of ischemic vascular disease (IVD) during the measurement year and the year prior to the measurement year, who had each of the following during the measurement year:</w:t>
            </w:r>
          </w:p>
          <w:p w14:paraId="5AB12733" w14:textId="77777777" w:rsidR="00817F28" w:rsidRDefault="00817F28" w:rsidP="00817F28">
            <w:pPr>
              <w:pStyle w:val="NoSpacing"/>
            </w:pPr>
          </w:p>
          <w:p w14:paraId="5939B85A" w14:textId="4431F9B8" w:rsidR="00817F28" w:rsidRDefault="00817F28" w:rsidP="009315B1">
            <w:pPr>
              <w:pStyle w:val="NoSpacing"/>
              <w:numPr>
                <w:ilvl w:val="0"/>
                <w:numId w:val="12"/>
              </w:numPr>
            </w:pPr>
            <w:r>
              <w:t>Low-density lipoprotein cholesterol (LDL-C) screening performed</w:t>
            </w:r>
          </w:p>
          <w:p w14:paraId="780D73B7" w14:textId="77C62E91" w:rsidR="00FC1A1F" w:rsidRPr="00FC1A1F" w:rsidRDefault="00817F28" w:rsidP="00230B11">
            <w:pPr>
              <w:pStyle w:val="NoSpacing"/>
              <w:numPr>
                <w:ilvl w:val="0"/>
                <w:numId w:val="12"/>
              </w:numPr>
              <w:rPr>
                <w:rFonts w:eastAsia="Times New Roman" w:cs="Times New Roman"/>
              </w:rPr>
            </w:pPr>
            <w:r>
              <w:t>LDL-C control (less than 100 mg/</w:t>
            </w:r>
            <w:proofErr w:type="spellStart"/>
            <w:r>
              <w:t>dL</w:t>
            </w:r>
            <w:proofErr w:type="spellEnd"/>
            <w:r>
              <w:t>)</w:t>
            </w:r>
          </w:p>
        </w:tc>
      </w:tr>
      <w:tr w:rsidR="00AD706B" w14:paraId="780D73BB" w14:textId="77777777" w:rsidTr="0071629B">
        <w:tc>
          <w:tcPr>
            <w:tcW w:w="2538" w:type="dxa"/>
          </w:tcPr>
          <w:p w14:paraId="780D73B9" w14:textId="77777777" w:rsidR="00AD706B" w:rsidRPr="00717546" w:rsidRDefault="00AD706B" w:rsidP="00A374B8">
            <w:pPr>
              <w:pStyle w:val="NoSpacing"/>
              <w:rPr>
                <w:b/>
              </w:rPr>
            </w:pPr>
            <w:r w:rsidRPr="00717546">
              <w:rPr>
                <w:b/>
              </w:rPr>
              <w:t>NQF Number</w:t>
            </w:r>
          </w:p>
        </w:tc>
        <w:tc>
          <w:tcPr>
            <w:tcW w:w="7038" w:type="dxa"/>
          </w:tcPr>
          <w:p w14:paraId="780D73BA" w14:textId="234CECDD" w:rsidR="00AD706B" w:rsidRDefault="009315B1" w:rsidP="00B05CBF">
            <w:pPr>
              <w:pStyle w:val="NoSpacing"/>
            </w:pPr>
            <w:r>
              <w:t xml:space="preserve">Not applicable </w:t>
            </w:r>
          </w:p>
        </w:tc>
      </w:tr>
      <w:tr w:rsidR="00AD706B" w14:paraId="780D73BE" w14:textId="77777777" w:rsidTr="0071629B">
        <w:tc>
          <w:tcPr>
            <w:tcW w:w="2538" w:type="dxa"/>
          </w:tcPr>
          <w:p w14:paraId="780D73BC" w14:textId="77777777" w:rsidR="00AD706B" w:rsidRPr="00717546" w:rsidRDefault="00AD706B" w:rsidP="00A374B8">
            <w:pPr>
              <w:pStyle w:val="NoSpacing"/>
              <w:rPr>
                <w:b/>
              </w:rPr>
            </w:pPr>
            <w:r>
              <w:rPr>
                <w:b/>
              </w:rPr>
              <w:t>Measure Steward</w:t>
            </w:r>
          </w:p>
        </w:tc>
        <w:tc>
          <w:tcPr>
            <w:tcW w:w="7038" w:type="dxa"/>
          </w:tcPr>
          <w:p w14:paraId="780D73BD" w14:textId="6EE020A4" w:rsidR="00AD706B" w:rsidRPr="00631E85" w:rsidRDefault="00FC1A1F" w:rsidP="00A374B8">
            <w:pPr>
              <w:pStyle w:val="NoSpacing"/>
            </w:pPr>
            <w:r>
              <w:t xml:space="preserve">National Committee for Quality Assurance </w:t>
            </w:r>
          </w:p>
        </w:tc>
      </w:tr>
      <w:tr w:rsidR="00AD706B" w14:paraId="780D73C1" w14:textId="77777777" w:rsidTr="0071629B">
        <w:tc>
          <w:tcPr>
            <w:tcW w:w="2538" w:type="dxa"/>
          </w:tcPr>
          <w:p w14:paraId="780D73BF" w14:textId="77777777" w:rsidR="00AD706B" w:rsidRDefault="00AD706B" w:rsidP="00A374B8">
            <w:pPr>
              <w:pStyle w:val="NoSpacing"/>
              <w:rPr>
                <w:b/>
              </w:rPr>
            </w:pPr>
            <w:r>
              <w:rPr>
                <w:b/>
              </w:rPr>
              <w:t>Link to measure citation</w:t>
            </w:r>
          </w:p>
        </w:tc>
        <w:tc>
          <w:tcPr>
            <w:tcW w:w="7038" w:type="dxa"/>
          </w:tcPr>
          <w:p w14:paraId="476EA9E0" w14:textId="77777777" w:rsidR="00AD706B" w:rsidRDefault="00491EA2" w:rsidP="00561D6D">
            <w:pPr>
              <w:pStyle w:val="NoSpacing"/>
            </w:pPr>
            <w:hyperlink r:id="rId12" w:history="1">
              <w:r w:rsidR="00FC1A1F" w:rsidRPr="00AA27DD">
                <w:rPr>
                  <w:rStyle w:val="Hyperlink"/>
                </w:rPr>
                <w:t>http://www.qualitymeasures.ahrq.gov/content.aspx?id=47175</w:t>
              </w:r>
            </w:hyperlink>
            <w:r w:rsidR="00FC1A1F">
              <w:t xml:space="preserve"> </w:t>
            </w:r>
          </w:p>
          <w:p w14:paraId="7B77D4EE" w14:textId="77777777" w:rsidR="007453E2" w:rsidRPr="00FC1A1F" w:rsidRDefault="007453E2" w:rsidP="007453E2">
            <w:pPr>
              <w:spacing w:before="100" w:beforeAutospacing="1" w:after="100" w:afterAutospacing="1" w:line="240" w:lineRule="auto"/>
              <w:rPr>
                <w:rFonts w:eastAsia="Times New Roman" w:cs="Times New Roman"/>
              </w:rPr>
            </w:pPr>
            <w:r w:rsidRPr="00FC1A1F">
              <w:rPr>
                <w:rFonts w:eastAsia="Times New Roman" w:cs="Times New Roman"/>
                <w:b/>
                <w:bCs/>
              </w:rPr>
              <w:t>Note from the National Quality Measures Clearinghouse (NQMC)</w:t>
            </w:r>
            <w:r w:rsidRPr="00FC1A1F">
              <w:rPr>
                <w:rFonts w:eastAsia="Times New Roman" w:cs="Times New Roman"/>
              </w:rPr>
              <w:t xml:space="preserve">: </w:t>
            </w:r>
          </w:p>
          <w:p w14:paraId="3F30B781" w14:textId="77777777" w:rsidR="007453E2" w:rsidRPr="00FC1A1F" w:rsidRDefault="007453E2" w:rsidP="007453E2">
            <w:pPr>
              <w:numPr>
                <w:ilvl w:val="0"/>
                <w:numId w:val="13"/>
              </w:numPr>
              <w:spacing w:before="100" w:beforeAutospacing="1" w:after="100" w:afterAutospacing="1" w:line="240" w:lineRule="auto"/>
              <w:rPr>
                <w:rFonts w:eastAsia="Times New Roman" w:cs="Times New Roman"/>
              </w:rPr>
            </w:pPr>
            <w:r w:rsidRPr="00FC1A1F">
              <w:rPr>
                <w:rFonts w:eastAsia="Times New Roman" w:cs="Times New Roman"/>
              </w:rPr>
              <w:t xml:space="preserve">For this measure, there are both Administrative and Hybrid Specifications. This NQMC measure summary is based on the Administrative Specification. Refer to the original measure documentation for details pertaining to the Hybrid Specification. </w:t>
            </w:r>
          </w:p>
          <w:p w14:paraId="780D73C0" w14:textId="4AFCB23E" w:rsidR="007453E2" w:rsidRPr="00631E85" w:rsidRDefault="007453E2" w:rsidP="007453E2">
            <w:pPr>
              <w:pStyle w:val="NoSpacing"/>
            </w:pPr>
            <w:r w:rsidRPr="00FC1A1F">
              <w:rPr>
                <w:rFonts w:eastAsia="Times New Roman" w:cs="Times New Roman"/>
              </w:rPr>
              <w:t>Measure specifications reference value sets that must be used for HEDIS reporting. In this NQMC measure summary, value set references are capitalized and underlined. A value set is the complete set of codes used to identify the service or condition included in the measure. Refer to the original measure documentation for the Value Set Directory.</w:t>
            </w:r>
          </w:p>
        </w:tc>
      </w:tr>
      <w:tr w:rsidR="00AD706B" w14:paraId="780D73C4" w14:textId="77777777" w:rsidTr="0071629B">
        <w:tc>
          <w:tcPr>
            <w:tcW w:w="2538" w:type="dxa"/>
          </w:tcPr>
          <w:p w14:paraId="780D73C2" w14:textId="77777777" w:rsidR="00AD706B" w:rsidRDefault="00AD706B" w:rsidP="00A374B8">
            <w:pPr>
              <w:pStyle w:val="NoSpacing"/>
              <w:rPr>
                <w:b/>
              </w:rPr>
            </w:pPr>
            <w:r>
              <w:rPr>
                <w:b/>
              </w:rPr>
              <w:t>Measure type</w:t>
            </w:r>
          </w:p>
        </w:tc>
        <w:tc>
          <w:tcPr>
            <w:tcW w:w="7038" w:type="dxa"/>
          </w:tcPr>
          <w:p w14:paraId="780D73C3" w14:textId="3DF7E6E2" w:rsidR="00AD706B" w:rsidRDefault="00596E41" w:rsidP="00AD706B">
            <w:pPr>
              <w:pStyle w:val="NoSpacing"/>
            </w:pPr>
            <w:r>
              <w:t>Stand-alone (</w:t>
            </w:r>
            <w:r w:rsidR="00FC1A1F">
              <w:t>SA</w:t>
            </w:r>
            <w:r>
              <w:t>)</w:t>
            </w:r>
          </w:p>
        </w:tc>
      </w:tr>
      <w:tr w:rsidR="00210039" w14:paraId="780D73C7" w14:textId="77777777" w:rsidTr="0071629B">
        <w:tc>
          <w:tcPr>
            <w:tcW w:w="2538" w:type="dxa"/>
          </w:tcPr>
          <w:p w14:paraId="780D73C5" w14:textId="40D5DDF1" w:rsidR="00210039" w:rsidRDefault="00210039" w:rsidP="00A374B8">
            <w:pPr>
              <w:pStyle w:val="NoSpacing"/>
              <w:rPr>
                <w:b/>
              </w:rPr>
            </w:pPr>
            <w:r>
              <w:rPr>
                <w:b/>
              </w:rPr>
              <w:t>Performance and Achievement Type</w:t>
            </w:r>
          </w:p>
        </w:tc>
        <w:tc>
          <w:tcPr>
            <w:tcW w:w="7038" w:type="dxa"/>
          </w:tcPr>
          <w:p w14:paraId="4A8868DC" w14:textId="77777777" w:rsidR="00210039" w:rsidRDefault="00210039" w:rsidP="00283705">
            <w:pPr>
              <w:pStyle w:val="NoSpacing"/>
            </w:pPr>
            <w:r>
              <w:t>Pay for Performance (P4P) - QSMIC</w:t>
            </w:r>
          </w:p>
          <w:tbl>
            <w:tblPr>
              <w:tblStyle w:val="TableGrid"/>
              <w:tblW w:w="0" w:type="auto"/>
              <w:tblLook w:val="04A0" w:firstRow="1" w:lastRow="0" w:firstColumn="1" w:lastColumn="0" w:noHBand="0" w:noVBand="1"/>
            </w:tblPr>
            <w:tblGrid>
              <w:gridCol w:w="1880"/>
              <w:gridCol w:w="1060"/>
              <w:gridCol w:w="1846"/>
              <w:gridCol w:w="1846"/>
            </w:tblGrid>
            <w:tr w:rsidR="00210039" w14:paraId="4AEBBDA9" w14:textId="77777777" w:rsidTr="00283705">
              <w:tc>
                <w:tcPr>
                  <w:tcW w:w="1880" w:type="dxa"/>
                </w:tcPr>
                <w:p w14:paraId="6E2BA2F9" w14:textId="77777777" w:rsidR="00210039" w:rsidRPr="00791AAE" w:rsidRDefault="00210039" w:rsidP="00283705">
                  <w:pPr>
                    <w:pStyle w:val="NoSpacing"/>
                    <w:jc w:val="center"/>
                  </w:pPr>
                </w:p>
              </w:tc>
              <w:tc>
                <w:tcPr>
                  <w:tcW w:w="1060" w:type="dxa"/>
                </w:tcPr>
                <w:p w14:paraId="1B182F9B" w14:textId="77777777" w:rsidR="00210039" w:rsidRPr="00791AAE" w:rsidRDefault="00210039" w:rsidP="00283705">
                  <w:pPr>
                    <w:pStyle w:val="NoSpacing"/>
                    <w:jc w:val="center"/>
                  </w:pPr>
                  <w:r>
                    <w:t>Baseline</w:t>
                  </w:r>
                </w:p>
              </w:tc>
              <w:tc>
                <w:tcPr>
                  <w:tcW w:w="1846" w:type="dxa"/>
                </w:tcPr>
                <w:p w14:paraId="09E71E9C" w14:textId="77777777" w:rsidR="00210039" w:rsidRPr="00791AAE" w:rsidRDefault="00210039" w:rsidP="00283705">
                  <w:pPr>
                    <w:pStyle w:val="NoSpacing"/>
                    <w:jc w:val="center"/>
                  </w:pPr>
                  <w:r w:rsidRPr="00791AAE">
                    <w:t>DY4</w:t>
                  </w:r>
                </w:p>
                <w:p w14:paraId="028DFD39" w14:textId="77777777" w:rsidR="00210039" w:rsidRPr="00791AAE" w:rsidRDefault="00210039" w:rsidP="00283705">
                  <w:pPr>
                    <w:pStyle w:val="NoSpacing"/>
                    <w:jc w:val="center"/>
                  </w:pPr>
                </w:p>
              </w:tc>
              <w:tc>
                <w:tcPr>
                  <w:tcW w:w="1846" w:type="dxa"/>
                </w:tcPr>
                <w:p w14:paraId="1C38302D" w14:textId="77777777" w:rsidR="00210039" w:rsidRPr="00791AAE" w:rsidRDefault="00210039" w:rsidP="00283705">
                  <w:pPr>
                    <w:pStyle w:val="NoSpacing"/>
                    <w:jc w:val="center"/>
                  </w:pPr>
                  <w:r w:rsidRPr="00791AAE">
                    <w:t>DY5</w:t>
                  </w:r>
                </w:p>
                <w:p w14:paraId="329CF83B" w14:textId="77777777" w:rsidR="00210039" w:rsidRPr="00791AAE" w:rsidRDefault="00210039" w:rsidP="00283705">
                  <w:pPr>
                    <w:pStyle w:val="NoSpacing"/>
                    <w:jc w:val="center"/>
                  </w:pPr>
                </w:p>
              </w:tc>
            </w:tr>
            <w:tr w:rsidR="00210039" w14:paraId="65E9744A" w14:textId="77777777" w:rsidTr="00283705">
              <w:tc>
                <w:tcPr>
                  <w:tcW w:w="1880" w:type="dxa"/>
                  <w:vMerge w:val="restart"/>
                </w:tcPr>
                <w:p w14:paraId="50D7C825" w14:textId="77777777" w:rsidR="00210039" w:rsidRPr="00791AAE" w:rsidRDefault="00210039" w:rsidP="00283705">
                  <w:pPr>
                    <w:pStyle w:val="NoSpacing"/>
                    <w:jc w:val="center"/>
                  </w:pPr>
                  <w:r>
                    <w:t>Achievement Level Calculations</w:t>
                  </w:r>
                </w:p>
                <w:p w14:paraId="012625C9" w14:textId="77777777" w:rsidR="00210039" w:rsidRPr="00791AAE" w:rsidRDefault="00210039" w:rsidP="00283705">
                  <w:pPr>
                    <w:pStyle w:val="NoSpacing"/>
                    <w:jc w:val="center"/>
                  </w:pPr>
                </w:p>
              </w:tc>
              <w:tc>
                <w:tcPr>
                  <w:tcW w:w="1060" w:type="dxa"/>
                </w:tcPr>
                <w:p w14:paraId="2F844A8A" w14:textId="77777777" w:rsidR="00210039" w:rsidRDefault="00210039" w:rsidP="00283705">
                  <w:pPr>
                    <w:pStyle w:val="NoSpacing"/>
                    <w:jc w:val="center"/>
                  </w:pPr>
                  <w:r>
                    <w:t>Baseline below MPL</w:t>
                  </w:r>
                </w:p>
              </w:tc>
              <w:tc>
                <w:tcPr>
                  <w:tcW w:w="1846" w:type="dxa"/>
                </w:tcPr>
                <w:p w14:paraId="012C64A8" w14:textId="77777777" w:rsidR="00210039" w:rsidRPr="00791AAE" w:rsidRDefault="00210039" w:rsidP="00283705">
                  <w:pPr>
                    <w:pStyle w:val="NoSpacing"/>
                    <w:jc w:val="center"/>
                  </w:pPr>
                  <w:r w:rsidRPr="00F2515D">
                    <w:t>MPL</w:t>
                  </w:r>
                </w:p>
              </w:tc>
              <w:tc>
                <w:tcPr>
                  <w:tcW w:w="1846" w:type="dxa"/>
                </w:tcPr>
                <w:p w14:paraId="1F1E3BD1" w14:textId="77777777" w:rsidR="00210039" w:rsidRPr="00791AAE" w:rsidRDefault="00210039" w:rsidP="00283705">
                  <w:pPr>
                    <w:pStyle w:val="NoSpacing"/>
                    <w:jc w:val="center"/>
                  </w:pPr>
                  <w:r w:rsidRPr="00F2515D">
                    <w:t>MPL + 10%* (HPL-MPL)</w:t>
                  </w:r>
                </w:p>
              </w:tc>
            </w:tr>
            <w:tr w:rsidR="00210039" w14:paraId="79D21B23" w14:textId="77777777" w:rsidTr="00283705">
              <w:tc>
                <w:tcPr>
                  <w:tcW w:w="1880" w:type="dxa"/>
                  <w:vMerge/>
                </w:tcPr>
                <w:p w14:paraId="481F20C9" w14:textId="77777777" w:rsidR="00210039" w:rsidRPr="00791AAE" w:rsidRDefault="00210039" w:rsidP="00283705">
                  <w:pPr>
                    <w:pStyle w:val="NoSpacing"/>
                    <w:jc w:val="center"/>
                  </w:pPr>
                </w:p>
              </w:tc>
              <w:tc>
                <w:tcPr>
                  <w:tcW w:w="1060" w:type="dxa"/>
                </w:tcPr>
                <w:p w14:paraId="6D399A0E" w14:textId="77777777" w:rsidR="00210039" w:rsidRDefault="00210039" w:rsidP="00283705">
                  <w:pPr>
                    <w:pStyle w:val="NoSpacing"/>
                    <w:jc w:val="center"/>
                  </w:pPr>
                  <w:r>
                    <w:t>Baseline above MPL</w:t>
                  </w:r>
                </w:p>
              </w:tc>
              <w:tc>
                <w:tcPr>
                  <w:tcW w:w="1846" w:type="dxa"/>
                </w:tcPr>
                <w:p w14:paraId="55D7FF86" w14:textId="77777777" w:rsidR="00210039" w:rsidRPr="00791AAE" w:rsidRDefault="00210039" w:rsidP="00283705">
                  <w:pPr>
                    <w:pStyle w:val="NoSpacing"/>
                    <w:jc w:val="center"/>
                  </w:pPr>
                  <w:r>
                    <w:t>B</w:t>
                  </w:r>
                  <w:r w:rsidRPr="00F2515D">
                    <w:t xml:space="preserve">aseline + 10%*(HPL - </w:t>
                  </w:r>
                  <w:r>
                    <w:t>B</w:t>
                  </w:r>
                  <w:r w:rsidRPr="00F2515D">
                    <w:t>aseline)</w:t>
                  </w:r>
                </w:p>
              </w:tc>
              <w:tc>
                <w:tcPr>
                  <w:tcW w:w="1846" w:type="dxa"/>
                </w:tcPr>
                <w:p w14:paraId="5A729BDC" w14:textId="77777777" w:rsidR="00210039" w:rsidRPr="00791AAE" w:rsidRDefault="00210039" w:rsidP="00283705">
                  <w:pPr>
                    <w:pStyle w:val="NoSpacing"/>
                    <w:jc w:val="center"/>
                  </w:pPr>
                  <w:r>
                    <w:t>B</w:t>
                  </w:r>
                  <w:r w:rsidRPr="00155143">
                    <w:t xml:space="preserve">aseline + 20%*(HPL - </w:t>
                  </w:r>
                  <w:r>
                    <w:t>B</w:t>
                  </w:r>
                  <w:r w:rsidRPr="00155143">
                    <w:t>aseline)</w:t>
                  </w:r>
                </w:p>
              </w:tc>
            </w:tr>
          </w:tbl>
          <w:p w14:paraId="780D73C6" w14:textId="67B03227" w:rsidR="00210039" w:rsidRDefault="00210039" w:rsidP="00116208">
            <w:pPr>
              <w:pStyle w:val="NoSpacing"/>
            </w:pPr>
          </w:p>
        </w:tc>
      </w:tr>
      <w:tr w:rsidR="00210039" w14:paraId="09D433C1" w14:textId="77777777" w:rsidTr="0071629B">
        <w:tc>
          <w:tcPr>
            <w:tcW w:w="2538" w:type="dxa"/>
          </w:tcPr>
          <w:p w14:paraId="0E409813" w14:textId="1DEE4021" w:rsidR="00210039" w:rsidRDefault="00210039" w:rsidP="00A374B8">
            <w:pPr>
              <w:pStyle w:val="NoSpacing"/>
              <w:rPr>
                <w:b/>
              </w:rPr>
            </w:pPr>
            <w:r>
              <w:rPr>
                <w:b/>
              </w:rPr>
              <w:t>Benchmark Description</w:t>
            </w:r>
          </w:p>
        </w:tc>
        <w:tc>
          <w:tcPr>
            <w:tcW w:w="7038" w:type="dxa"/>
          </w:tcPr>
          <w:tbl>
            <w:tblPr>
              <w:tblStyle w:val="TableGrid"/>
              <w:tblW w:w="6637" w:type="dxa"/>
              <w:tblLook w:val="04A0" w:firstRow="1" w:lastRow="0" w:firstColumn="1" w:lastColumn="0" w:noHBand="0" w:noVBand="1"/>
            </w:tblPr>
            <w:tblGrid>
              <w:gridCol w:w="3397"/>
              <w:gridCol w:w="3230"/>
              <w:gridCol w:w="10"/>
            </w:tblGrid>
            <w:tr w:rsidR="00210039" w14:paraId="38272BEF" w14:textId="77777777" w:rsidTr="00283705">
              <w:trPr>
                <w:gridAfter w:val="1"/>
                <w:wAfter w:w="10" w:type="dxa"/>
              </w:trPr>
              <w:tc>
                <w:tcPr>
                  <w:tcW w:w="6627" w:type="dxa"/>
                  <w:gridSpan w:val="2"/>
                </w:tcPr>
                <w:p w14:paraId="581EFEF0" w14:textId="619566D9" w:rsidR="00210039" w:rsidRPr="00791AAE" w:rsidRDefault="00210039" w:rsidP="0041132E">
                  <w:pPr>
                    <w:pStyle w:val="NoSpacing"/>
                    <w:jc w:val="center"/>
                  </w:pPr>
                  <w:r>
                    <w:t>NCQA Quality Compass</w:t>
                  </w:r>
                </w:p>
              </w:tc>
            </w:tr>
            <w:tr w:rsidR="00210039" w14:paraId="5FDE8F4F" w14:textId="77777777" w:rsidTr="00283705">
              <w:tc>
                <w:tcPr>
                  <w:tcW w:w="3397" w:type="dxa"/>
                </w:tcPr>
                <w:p w14:paraId="51CD3522" w14:textId="77777777" w:rsidR="00210039" w:rsidRPr="00791AAE" w:rsidRDefault="00210039" w:rsidP="00283705">
                  <w:pPr>
                    <w:pStyle w:val="NoSpacing"/>
                    <w:jc w:val="center"/>
                  </w:pPr>
                  <w:r w:rsidRPr="00791AAE">
                    <w:t>HPL (90</w:t>
                  </w:r>
                  <w:r w:rsidRPr="00537ED7">
                    <w:rPr>
                      <w:vertAlign w:val="superscript"/>
                    </w:rPr>
                    <w:t>th</w:t>
                  </w:r>
                  <w:r w:rsidRPr="00791AAE">
                    <w:t xml:space="preserve"> Percentile)</w:t>
                  </w:r>
                </w:p>
              </w:tc>
              <w:tc>
                <w:tcPr>
                  <w:tcW w:w="3240" w:type="dxa"/>
                  <w:gridSpan w:val="2"/>
                </w:tcPr>
                <w:p w14:paraId="487C33DD" w14:textId="21974C74" w:rsidR="00210039" w:rsidRPr="00791AAE" w:rsidRDefault="00210039" w:rsidP="00210039">
                  <w:pPr>
                    <w:pStyle w:val="NoSpacing"/>
                    <w:jc w:val="center"/>
                  </w:pPr>
                  <w:r>
                    <w:t>55.56%</w:t>
                  </w:r>
                </w:p>
              </w:tc>
            </w:tr>
            <w:tr w:rsidR="00210039" w14:paraId="189A631A" w14:textId="77777777" w:rsidTr="00283705">
              <w:tc>
                <w:tcPr>
                  <w:tcW w:w="3397" w:type="dxa"/>
                </w:tcPr>
                <w:p w14:paraId="782CA45C" w14:textId="77777777" w:rsidR="00210039" w:rsidRPr="00791AAE" w:rsidRDefault="00210039" w:rsidP="00283705">
                  <w:pPr>
                    <w:pStyle w:val="NoSpacing"/>
                    <w:jc w:val="center"/>
                  </w:pPr>
                  <w:r>
                    <w:t>MPL (25</w:t>
                  </w:r>
                  <w:r w:rsidRPr="00791AAE">
                    <w:rPr>
                      <w:vertAlign w:val="superscript"/>
                    </w:rPr>
                    <w:t>th</w:t>
                  </w:r>
                  <w:r w:rsidRPr="00791AAE">
                    <w:t xml:space="preserve"> Percentile)</w:t>
                  </w:r>
                  <w:r>
                    <w:t xml:space="preserve"> or 10</w:t>
                  </w:r>
                  <w:r w:rsidRPr="00283705">
                    <w:rPr>
                      <w:vertAlign w:val="superscript"/>
                    </w:rPr>
                    <w:t>th</w:t>
                  </w:r>
                  <w:r>
                    <w:t xml:space="preserve"> if applicable</w:t>
                  </w:r>
                </w:p>
              </w:tc>
              <w:tc>
                <w:tcPr>
                  <w:tcW w:w="3240" w:type="dxa"/>
                  <w:gridSpan w:val="2"/>
                </w:tcPr>
                <w:p w14:paraId="63AA5561" w14:textId="48E1EBB2" w:rsidR="00210039" w:rsidRPr="00791AAE" w:rsidRDefault="00210039" w:rsidP="00210039">
                  <w:pPr>
                    <w:pStyle w:val="NoSpacing"/>
                    <w:jc w:val="center"/>
                  </w:pPr>
                  <w:r>
                    <w:t>35.13%</w:t>
                  </w:r>
                </w:p>
              </w:tc>
            </w:tr>
          </w:tbl>
          <w:p w14:paraId="5F16D41D" w14:textId="77777777" w:rsidR="00210039" w:rsidRDefault="00210039" w:rsidP="00283705">
            <w:pPr>
              <w:pStyle w:val="NoSpacing"/>
            </w:pPr>
          </w:p>
        </w:tc>
      </w:tr>
      <w:tr w:rsidR="00210039" w14:paraId="780D73D0" w14:textId="77777777" w:rsidTr="0071629B">
        <w:tc>
          <w:tcPr>
            <w:tcW w:w="2538" w:type="dxa"/>
          </w:tcPr>
          <w:p w14:paraId="780D73C8" w14:textId="77777777" w:rsidR="00210039" w:rsidRPr="00717546" w:rsidRDefault="00210039" w:rsidP="00A374B8">
            <w:pPr>
              <w:pStyle w:val="NoSpacing"/>
              <w:rPr>
                <w:b/>
              </w:rPr>
            </w:pPr>
            <w:r>
              <w:rPr>
                <w:b/>
              </w:rPr>
              <w:t xml:space="preserve">DSRIP-specific </w:t>
            </w:r>
            <w:r>
              <w:rPr>
                <w:b/>
              </w:rPr>
              <w:lastRenderedPageBreak/>
              <w:t>modifications to Measure Steward’s specification</w:t>
            </w:r>
          </w:p>
        </w:tc>
        <w:tc>
          <w:tcPr>
            <w:tcW w:w="7038" w:type="dxa"/>
          </w:tcPr>
          <w:p w14:paraId="780D73CB" w14:textId="1DAF44C4" w:rsidR="00210039" w:rsidRDefault="00210039" w:rsidP="009F78A7">
            <w:pPr>
              <w:pStyle w:val="NoSpacing"/>
            </w:pPr>
            <w:r w:rsidRPr="00787D45">
              <w:lastRenderedPageBreak/>
              <w:t>The</w:t>
            </w:r>
            <w:r>
              <w:t xml:space="preserve"> Measure Steward’s specification has been modified as follows:</w:t>
            </w:r>
          </w:p>
          <w:p w14:paraId="7FBE5AF0" w14:textId="77777777" w:rsidR="00210039" w:rsidRDefault="00210039" w:rsidP="00FC1A1F">
            <w:pPr>
              <w:pStyle w:val="NoSpacing"/>
              <w:numPr>
                <w:ilvl w:val="0"/>
                <w:numId w:val="9"/>
              </w:numPr>
            </w:pPr>
            <w:r>
              <w:lastRenderedPageBreak/>
              <w:t>R</w:t>
            </w:r>
            <w:r w:rsidRPr="00FC1A1F">
              <w:t xml:space="preserve">eplaced term "member" with "patient" </w:t>
            </w:r>
          </w:p>
          <w:p w14:paraId="6C142208" w14:textId="34E38A33" w:rsidR="00210039" w:rsidRDefault="00210039" w:rsidP="0062016F">
            <w:pPr>
              <w:pStyle w:val="NoSpacing"/>
              <w:numPr>
                <w:ilvl w:val="0"/>
                <w:numId w:val="9"/>
              </w:numPr>
            </w:pPr>
            <w:r>
              <w:t>Replaced continuous enrollment language with a requirement that the patient must have at least one outpatient encounter in the prior year</w:t>
            </w:r>
          </w:p>
          <w:p w14:paraId="4DCC624A" w14:textId="362561C7" w:rsidR="00210039" w:rsidRDefault="00210039" w:rsidP="0062016F">
            <w:pPr>
              <w:pStyle w:val="ListParagraph"/>
              <w:numPr>
                <w:ilvl w:val="0"/>
                <w:numId w:val="9"/>
              </w:numPr>
            </w:pPr>
            <w:r w:rsidRPr="0062016F">
              <w:t>Removed references to Medicare specifications</w:t>
            </w:r>
          </w:p>
          <w:p w14:paraId="780D73CF" w14:textId="02EACF71" w:rsidR="00210039" w:rsidRDefault="00210039" w:rsidP="00FC1A1F">
            <w:pPr>
              <w:pStyle w:val="NoSpacing"/>
              <w:numPr>
                <w:ilvl w:val="0"/>
                <w:numId w:val="9"/>
              </w:numPr>
            </w:pPr>
            <w:r>
              <w:t>Removed references to specific dates</w:t>
            </w:r>
          </w:p>
        </w:tc>
      </w:tr>
      <w:tr w:rsidR="00210039" w14:paraId="780D73D3" w14:textId="77777777" w:rsidTr="0071629B">
        <w:tc>
          <w:tcPr>
            <w:tcW w:w="2538" w:type="dxa"/>
          </w:tcPr>
          <w:p w14:paraId="780D73D1" w14:textId="77777777" w:rsidR="00210039" w:rsidRPr="00717546" w:rsidRDefault="00210039" w:rsidP="001D6BEA">
            <w:pPr>
              <w:pStyle w:val="NoSpacing"/>
              <w:rPr>
                <w:b/>
              </w:rPr>
            </w:pPr>
            <w:r w:rsidRPr="00717546">
              <w:rPr>
                <w:b/>
              </w:rPr>
              <w:lastRenderedPageBreak/>
              <w:t>Denominator</w:t>
            </w:r>
            <w:r>
              <w:rPr>
                <w:b/>
              </w:rPr>
              <w:t xml:space="preserve"> Description </w:t>
            </w:r>
          </w:p>
        </w:tc>
        <w:tc>
          <w:tcPr>
            <w:tcW w:w="7038" w:type="dxa"/>
          </w:tcPr>
          <w:p w14:paraId="780D73D2" w14:textId="66D393F2" w:rsidR="00210039" w:rsidRPr="0062016F" w:rsidRDefault="00210039" w:rsidP="00491EA2">
            <w:pPr>
              <w:spacing w:line="240" w:lineRule="auto"/>
              <w:rPr>
                <w:rFonts w:eastAsia="Times New Roman" w:cs="Times New Roman"/>
              </w:rPr>
            </w:pPr>
            <w:r>
              <w:rPr>
                <w:rFonts w:eastAsia="Times New Roman" w:cs="Times New Roman"/>
              </w:rPr>
              <w:t xml:space="preserve">Patients </w:t>
            </w:r>
            <w:r w:rsidRPr="0052036B">
              <w:rPr>
                <w:rFonts w:eastAsia="Times New Roman" w:cs="Times New Roman"/>
              </w:rPr>
              <w:t xml:space="preserve"> age 18 to 75 years as of </w:t>
            </w:r>
            <w:r>
              <w:rPr>
                <w:rFonts w:eastAsia="Times New Roman" w:cs="Times New Roman"/>
              </w:rPr>
              <w:t>the last day</w:t>
            </w:r>
            <w:r w:rsidRPr="0052036B">
              <w:rPr>
                <w:rFonts w:eastAsia="Times New Roman" w:cs="Times New Roman"/>
              </w:rPr>
              <w:t xml:space="preserve"> of the measurement year who were discharged alive for acute myocardial infarction (AMI), coronary artery bypass graft (CABG), or percutaneous coronary interventions (PCI) in the year prior to the measurement year, </w:t>
            </w:r>
            <w:r w:rsidRPr="0052036B">
              <w:rPr>
                <w:rFonts w:eastAsia="Times New Roman" w:cs="Times New Roman"/>
                <w:i/>
                <w:iCs/>
              </w:rPr>
              <w:t>or</w:t>
            </w:r>
            <w:r w:rsidRPr="0052036B">
              <w:rPr>
                <w:rFonts w:eastAsia="Times New Roman" w:cs="Times New Roman"/>
              </w:rPr>
              <w:t xml:space="preserve"> who had a diagnosis of ischemic vascular disease (IVD) during the measurement year and the year prior to the measurement year</w:t>
            </w:r>
          </w:p>
        </w:tc>
      </w:tr>
      <w:tr w:rsidR="00210039" w14:paraId="780D73D6" w14:textId="77777777" w:rsidTr="0071629B">
        <w:trPr>
          <w:trHeight w:val="728"/>
        </w:trPr>
        <w:tc>
          <w:tcPr>
            <w:tcW w:w="2538" w:type="dxa"/>
          </w:tcPr>
          <w:p w14:paraId="780D73D4" w14:textId="77777777" w:rsidR="00210039" w:rsidRPr="00717546" w:rsidRDefault="00210039" w:rsidP="00C01E6F">
            <w:pPr>
              <w:pStyle w:val="NoSpacing"/>
              <w:rPr>
                <w:b/>
              </w:rPr>
            </w:pPr>
            <w:r>
              <w:rPr>
                <w:b/>
              </w:rPr>
              <w:t>Denominator Inclusions</w:t>
            </w:r>
          </w:p>
        </w:tc>
        <w:tc>
          <w:tcPr>
            <w:tcW w:w="7038" w:type="dxa"/>
          </w:tcPr>
          <w:p w14:paraId="3663B075" w14:textId="77777777" w:rsidR="00210039" w:rsidRPr="0052036B" w:rsidRDefault="00210039" w:rsidP="00A85014">
            <w:pPr>
              <w:numPr>
                <w:ilvl w:val="0"/>
                <w:numId w:val="15"/>
              </w:numPr>
              <w:spacing w:line="240" w:lineRule="auto"/>
              <w:ind w:left="360"/>
              <w:rPr>
                <w:rFonts w:eastAsia="Times New Roman" w:cs="Times New Roman"/>
              </w:rPr>
            </w:pPr>
            <w:r>
              <w:rPr>
                <w:rFonts w:eastAsia="Times New Roman" w:cs="Times New Roman"/>
              </w:rPr>
              <w:t>Patients</w:t>
            </w:r>
            <w:r w:rsidRPr="0052036B">
              <w:rPr>
                <w:rFonts w:eastAsia="Times New Roman" w:cs="Times New Roman"/>
              </w:rPr>
              <w:t xml:space="preserve"> must have </w:t>
            </w:r>
            <w:r>
              <w:rPr>
                <w:rFonts w:eastAsia="Times New Roman" w:cs="Times New Roman"/>
              </w:rPr>
              <w:t>had at least one outpatient encounter in the prior</w:t>
            </w:r>
            <w:r w:rsidRPr="0052036B">
              <w:rPr>
                <w:rFonts w:eastAsia="Times New Roman" w:cs="Times New Roman"/>
              </w:rPr>
              <w:t xml:space="preserve">. </w:t>
            </w:r>
          </w:p>
          <w:p w14:paraId="297543A9" w14:textId="77777777" w:rsidR="00210039" w:rsidRPr="0052036B" w:rsidRDefault="00210039" w:rsidP="00A85014">
            <w:pPr>
              <w:numPr>
                <w:ilvl w:val="0"/>
                <w:numId w:val="15"/>
              </w:numPr>
              <w:spacing w:line="240" w:lineRule="auto"/>
              <w:ind w:left="360"/>
              <w:rPr>
                <w:rFonts w:eastAsia="Times New Roman" w:cs="Times New Roman"/>
              </w:rPr>
            </w:pPr>
            <w:r>
              <w:rPr>
                <w:rFonts w:eastAsia="Times New Roman" w:cs="Times New Roman"/>
              </w:rPr>
              <w:t>Patients</w:t>
            </w:r>
            <w:r w:rsidRPr="0052036B">
              <w:rPr>
                <w:rFonts w:eastAsia="Times New Roman" w:cs="Times New Roman"/>
              </w:rPr>
              <w:t xml:space="preserve"> are identified for the eligible population in two ways: by event or by diagnosis. The organization must use both methods to identify the eligible population, but a </w:t>
            </w:r>
            <w:r>
              <w:rPr>
                <w:rFonts w:eastAsia="Times New Roman" w:cs="Times New Roman"/>
              </w:rPr>
              <w:t>patient</w:t>
            </w:r>
            <w:r w:rsidRPr="0052036B">
              <w:rPr>
                <w:rFonts w:eastAsia="Times New Roman" w:cs="Times New Roman"/>
              </w:rPr>
              <w:t xml:space="preserve"> only needs to be identified by one to be included in the measure. </w:t>
            </w:r>
          </w:p>
          <w:p w14:paraId="12B164FE" w14:textId="77777777" w:rsidR="00210039" w:rsidRPr="0052036B" w:rsidRDefault="00210039" w:rsidP="00A85014">
            <w:pPr>
              <w:numPr>
                <w:ilvl w:val="0"/>
                <w:numId w:val="15"/>
              </w:numPr>
              <w:spacing w:line="240" w:lineRule="auto"/>
              <w:ind w:left="360"/>
              <w:rPr>
                <w:rFonts w:eastAsia="Times New Roman" w:cs="Times New Roman"/>
              </w:rPr>
            </w:pPr>
            <w:r w:rsidRPr="0052036B">
              <w:rPr>
                <w:rFonts w:eastAsia="Times New Roman" w:cs="Times New Roman"/>
                <w:i/>
                <w:iCs/>
              </w:rPr>
              <w:t>Event.</w:t>
            </w:r>
            <w:r w:rsidRPr="0052036B">
              <w:rPr>
                <w:rFonts w:eastAsia="Times New Roman" w:cs="Times New Roman"/>
              </w:rPr>
              <w:t xml:space="preserve"> Any of the following during the year prior to the measurement year meet criteria: </w:t>
            </w:r>
          </w:p>
          <w:p w14:paraId="3A7C1966" w14:textId="77777777" w:rsidR="00210039" w:rsidRPr="0052036B" w:rsidRDefault="00210039" w:rsidP="00A85014">
            <w:pPr>
              <w:numPr>
                <w:ilvl w:val="1"/>
                <w:numId w:val="15"/>
              </w:numPr>
              <w:spacing w:line="240" w:lineRule="auto"/>
              <w:ind w:left="1080"/>
              <w:rPr>
                <w:rFonts w:eastAsia="Times New Roman" w:cs="Times New Roman"/>
              </w:rPr>
            </w:pPr>
            <w:r w:rsidRPr="0052036B">
              <w:rPr>
                <w:rFonts w:eastAsia="Times New Roman" w:cs="Times New Roman"/>
                <w:i/>
                <w:iCs/>
              </w:rPr>
              <w:t>AMI</w:t>
            </w:r>
            <w:r w:rsidRPr="0052036B">
              <w:rPr>
                <w:rFonts w:eastAsia="Times New Roman" w:cs="Times New Roman"/>
              </w:rPr>
              <w:t>. Discharged alive from an acute inpatient setting with an AMI (</w:t>
            </w:r>
            <w:r w:rsidRPr="0052036B">
              <w:rPr>
                <w:rFonts w:eastAsia="Times New Roman" w:cs="Times New Roman"/>
                <w:u w:val="single"/>
              </w:rPr>
              <w:t>AMI Value Set</w:t>
            </w:r>
            <w:r w:rsidRPr="0052036B">
              <w:rPr>
                <w:rFonts w:eastAsia="Times New Roman" w:cs="Times New Roman"/>
              </w:rPr>
              <w:t xml:space="preserve">). Use both facility and professional claims to identify AMI. </w:t>
            </w:r>
          </w:p>
          <w:p w14:paraId="45E72F94" w14:textId="77777777" w:rsidR="00210039" w:rsidRPr="0052036B" w:rsidRDefault="00210039" w:rsidP="00A85014">
            <w:pPr>
              <w:numPr>
                <w:ilvl w:val="1"/>
                <w:numId w:val="15"/>
              </w:numPr>
              <w:spacing w:line="240" w:lineRule="auto"/>
              <w:ind w:left="1080"/>
              <w:rPr>
                <w:rFonts w:eastAsia="Times New Roman" w:cs="Times New Roman"/>
              </w:rPr>
            </w:pPr>
            <w:r w:rsidRPr="0052036B">
              <w:rPr>
                <w:rFonts w:eastAsia="Times New Roman" w:cs="Times New Roman"/>
                <w:i/>
                <w:iCs/>
              </w:rPr>
              <w:t>CABG</w:t>
            </w:r>
            <w:r w:rsidRPr="0052036B">
              <w:rPr>
                <w:rFonts w:eastAsia="Times New Roman" w:cs="Times New Roman"/>
              </w:rPr>
              <w:t>. Discharged alive from an acute inpatient setting with a CABG (</w:t>
            </w:r>
            <w:r w:rsidRPr="0052036B">
              <w:rPr>
                <w:rFonts w:eastAsia="Times New Roman" w:cs="Times New Roman"/>
                <w:u w:val="single"/>
              </w:rPr>
              <w:t>CABG Value Set</w:t>
            </w:r>
            <w:r w:rsidRPr="0052036B">
              <w:rPr>
                <w:rFonts w:eastAsia="Times New Roman" w:cs="Times New Roman"/>
              </w:rPr>
              <w:t xml:space="preserve">). Use both facility and professional claims to identify CABG. </w:t>
            </w:r>
          </w:p>
          <w:p w14:paraId="51190C38" w14:textId="77777777" w:rsidR="00210039" w:rsidRPr="0052036B" w:rsidRDefault="00210039" w:rsidP="00A85014">
            <w:pPr>
              <w:numPr>
                <w:ilvl w:val="1"/>
                <w:numId w:val="15"/>
              </w:numPr>
              <w:spacing w:line="240" w:lineRule="auto"/>
              <w:ind w:left="1080"/>
              <w:rPr>
                <w:rFonts w:eastAsia="Times New Roman" w:cs="Times New Roman"/>
              </w:rPr>
            </w:pPr>
            <w:r w:rsidRPr="0052036B">
              <w:rPr>
                <w:rFonts w:eastAsia="Times New Roman" w:cs="Times New Roman"/>
                <w:i/>
                <w:iCs/>
              </w:rPr>
              <w:t>PCI</w:t>
            </w:r>
            <w:r w:rsidRPr="0052036B">
              <w:rPr>
                <w:rFonts w:eastAsia="Times New Roman" w:cs="Times New Roman"/>
              </w:rPr>
              <w:t>. Members who had PCI (</w:t>
            </w:r>
            <w:r w:rsidRPr="0052036B">
              <w:rPr>
                <w:rFonts w:eastAsia="Times New Roman" w:cs="Times New Roman"/>
                <w:u w:val="single"/>
              </w:rPr>
              <w:t>PCI Value Set</w:t>
            </w:r>
            <w:r w:rsidRPr="0052036B">
              <w:rPr>
                <w:rFonts w:eastAsia="Times New Roman" w:cs="Times New Roman"/>
              </w:rPr>
              <w:t xml:space="preserve">) in any setting. </w:t>
            </w:r>
          </w:p>
          <w:p w14:paraId="48F696D0" w14:textId="77777777" w:rsidR="00210039" w:rsidRPr="0052036B" w:rsidRDefault="00210039" w:rsidP="00A85014">
            <w:pPr>
              <w:numPr>
                <w:ilvl w:val="0"/>
                <w:numId w:val="15"/>
              </w:numPr>
              <w:spacing w:line="240" w:lineRule="auto"/>
              <w:ind w:left="360"/>
              <w:rPr>
                <w:rFonts w:eastAsia="Times New Roman" w:cs="Times New Roman"/>
              </w:rPr>
            </w:pPr>
            <w:r w:rsidRPr="0052036B">
              <w:rPr>
                <w:rFonts w:eastAsia="Times New Roman" w:cs="Times New Roman"/>
                <w:i/>
                <w:iCs/>
              </w:rPr>
              <w:t>Diagnosis</w:t>
            </w:r>
            <w:r w:rsidRPr="0052036B">
              <w:rPr>
                <w:rFonts w:eastAsia="Times New Roman" w:cs="Times New Roman"/>
              </w:rPr>
              <w:t xml:space="preserve">. Identify </w:t>
            </w:r>
            <w:r>
              <w:rPr>
                <w:rFonts w:eastAsia="Times New Roman" w:cs="Times New Roman"/>
              </w:rPr>
              <w:t>patients</w:t>
            </w:r>
            <w:r w:rsidRPr="0052036B">
              <w:rPr>
                <w:rFonts w:eastAsia="Times New Roman" w:cs="Times New Roman"/>
              </w:rPr>
              <w:t xml:space="preserve"> as having IVD who met at least one of the following criteria during both the measurement year and the year prior to the measurement year. Criteria need not be the same across both years. </w:t>
            </w:r>
          </w:p>
          <w:p w14:paraId="37047491" w14:textId="77777777" w:rsidR="00210039" w:rsidRDefault="00210039" w:rsidP="00A85014">
            <w:pPr>
              <w:numPr>
                <w:ilvl w:val="1"/>
                <w:numId w:val="15"/>
              </w:numPr>
              <w:spacing w:line="240" w:lineRule="auto"/>
              <w:ind w:left="1080"/>
              <w:rPr>
                <w:rFonts w:eastAsia="Times New Roman" w:cs="Times New Roman"/>
              </w:rPr>
            </w:pPr>
            <w:r w:rsidRPr="0052036B">
              <w:rPr>
                <w:rFonts w:eastAsia="Times New Roman" w:cs="Times New Roman"/>
              </w:rPr>
              <w:t>At least one outpatient visit (</w:t>
            </w:r>
            <w:r w:rsidRPr="0052036B">
              <w:rPr>
                <w:rFonts w:eastAsia="Times New Roman" w:cs="Times New Roman"/>
                <w:u w:val="single"/>
              </w:rPr>
              <w:t>Outpatient Value Set</w:t>
            </w:r>
            <w:r w:rsidRPr="0052036B">
              <w:rPr>
                <w:rFonts w:eastAsia="Times New Roman" w:cs="Times New Roman"/>
              </w:rPr>
              <w:t>), with an IVD diagnosis (</w:t>
            </w:r>
            <w:r w:rsidRPr="0052036B">
              <w:rPr>
                <w:rFonts w:eastAsia="Times New Roman" w:cs="Times New Roman"/>
                <w:u w:val="single"/>
              </w:rPr>
              <w:t>IVD Value Set</w:t>
            </w:r>
            <w:r w:rsidRPr="0052036B">
              <w:rPr>
                <w:rFonts w:eastAsia="Times New Roman" w:cs="Times New Roman"/>
              </w:rPr>
              <w:t xml:space="preserve">), or </w:t>
            </w:r>
          </w:p>
          <w:p w14:paraId="780D73D5" w14:textId="38FB3462" w:rsidR="00210039" w:rsidRPr="002D4F0E" w:rsidRDefault="00210039" w:rsidP="00210039">
            <w:pPr>
              <w:spacing w:line="240" w:lineRule="auto"/>
              <w:rPr>
                <w:rFonts w:eastAsia="Times New Roman" w:cs="Times New Roman"/>
              </w:rPr>
            </w:pPr>
            <w:r w:rsidRPr="0062016F">
              <w:rPr>
                <w:rFonts w:eastAsia="Times New Roman" w:cs="Times New Roman"/>
              </w:rPr>
              <w:t>At least one acute inpatient encounter (</w:t>
            </w:r>
            <w:r w:rsidRPr="0062016F">
              <w:rPr>
                <w:rFonts w:eastAsia="Times New Roman" w:cs="Times New Roman"/>
                <w:u w:val="single"/>
              </w:rPr>
              <w:t>Acute Inpatient Value Set</w:t>
            </w:r>
            <w:r w:rsidRPr="0062016F">
              <w:rPr>
                <w:rFonts w:eastAsia="Times New Roman" w:cs="Times New Roman"/>
              </w:rPr>
              <w:t>), with an IVD diagnosis (</w:t>
            </w:r>
            <w:r w:rsidRPr="0062016F">
              <w:rPr>
                <w:rFonts w:eastAsia="Times New Roman" w:cs="Times New Roman"/>
                <w:u w:val="single"/>
              </w:rPr>
              <w:t>IVD Value Set</w:t>
            </w:r>
            <w:r w:rsidRPr="0062016F">
              <w:rPr>
                <w:rFonts w:eastAsia="Times New Roman" w:cs="Times New Roman"/>
              </w:rPr>
              <w:t>)</w:t>
            </w:r>
          </w:p>
        </w:tc>
      </w:tr>
      <w:tr w:rsidR="00210039" w14:paraId="780D73D9" w14:textId="77777777" w:rsidTr="0071629B">
        <w:trPr>
          <w:trHeight w:val="710"/>
        </w:trPr>
        <w:tc>
          <w:tcPr>
            <w:tcW w:w="2538" w:type="dxa"/>
          </w:tcPr>
          <w:p w14:paraId="780D73D7" w14:textId="77777777" w:rsidR="00210039" w:rsidRPr="00717546" w:rsidRDefault="00210039" w:rsidP="00C01E6F">
            <w:pPr>
              <w:pStyle w:val="NoSpacing"/>
              <w:rPr>
                <w:b/>
              </w:rPr>
            </w:pPr>
            <w:r>
              <w:rPr>
                <w:b/>
              </w:rPr>
              <w:t>Denominator Exclusions</w:t>
            </w:r>
          </w:p>
        </w:tc>
        <w:tc>
          <w:tcPr>
            <w:tcW w:w="7038" w:type="dxa"/>
          </w:tcPr>
          <w:p w14:paraId="780D73D8" w14:textId="08BAD08E" w:rsidR="00210039" w:rsidRPr="001D6BEA" w:rsidRDefault="00210039" w:rsidP="002D4F0E">
            <w:pPr>
              <w:pStyle w:val="NoSpacing"/>
            </w:pPr>
            <w:r>
              <w:t>The Measure Steward does not identify specific denominator exclusions beyond what is described in the denominator description.</w:t>
            </w:r>
          </w:p>
        </w:tc>
      </w:tr>
      <w:tr w:rsidR="00210039" w14:paraId="780D73DF" w14:textId="77777777" w:rsidTr="0071629B">
        <w:tc>
          <w:tcPr>
            <w:tcW w:w="2538" w:type="dxa"/>
          </w:tcPr>
          <w:p w14:paraId="780D73DA" w14:textId="77777777" w:rsidR="00210039" w:rsidRDefault="00210039" w:rsidP="00AF103E">
            <w:pPr>
              <w:pStyle w:val="NoSpacing"/>
              <w:rPr>
                <w:b/>
              </w:rPr>
            </w:pPr>
            <w:r>
              <w:rPr>
                <w:b/>
              </w:rPr>
              <w:t>Denominator Size</w:t>
            </w:r>
          </w:p>
        </w:tc>
        <w:tc>
          <w:tcPr>
            <w:tcW w:w="7038" w:type="dxa"/>
          </w:tcPr>
          <w:p w14:paraId="780D73DB" w14:textId="77777777" w:rsidR="00210039" w:rsidRDefault="00210039" w:rsidP="00D63CD3">
            <w:pPr>
              <w:pStyle w:val="NoSpacing"/>
            </w:pPr>
            <w:r>
              <w:t>Providers</w:t>
            </w:r>
            <w:r w:rsidRPr="00D63CD3">
              <w:t xml:space="preserve"> must report a </w:t>
            </w:r>
            <w:r>
              <w:t>minimum of 30 cases per measure during a 12-month measurement period (15 cases for a 6-month measurement period)</w:t>
            </w:r>
          </w:p>
          <w:p w14:paraId="780D73DC" w14:textId="77777777" w:rsidR="00210039" w:rsidRDefault="00210039" w:rsidP="0032246B">
            <w:pPr>
              <w:pStyle w:val="NoSpacing"/>
              <w:numPr>
                <w:ilvl w:val="0"/>
                <w:numId w:val="8"/>
              </w:numPr>
            </w:pPr>
            <w:r>
              <w:t>For a measurement period (either 6 or 12 months) where the denominator size is less than or equal to 75, providers must report on all cases. No sampling is allowed.</w:t>
            </w:r>
          </w:p>
          <w:p w14:paraId="780D73DD" w14:textId="77777777" w:rsidR="00210039" w:rsidRDefault="00210039" w:rsidP="0032246B">
            <w:pPr>
              <w:pStyle w:val="NoSpacing"/>
              <w:numPr>
                <w:ilvl w:val="0"/>
                <w:numId w:val="8"/>
              </w:numPr>
            </w:pPr>
            <w:r>
              <w:t xml:space="preserve">For a measurement period (either 6 or 12 months) where the denominator size is less than or equal to 380 but greater than 75, providers must report on all cases (preferred, particularly for </w:t>
            </w:r>
            <w:r>
              <w:lastRenderedPageBreak/>
              <w:t>providers using an electronic health record) or a random sample of not less than 76 cases.</w:t>
            </w:r>
          </w:p>
          <w:p w14:paraId="780D73DE" w14:textId="77777777" w:rsidR="00210039" w:rsidRPr="001D6BEA" w:rsidRDefault="00210039" w:rsidP="00561D6D">
            <w:pPr>
              <w:pStyle w:val="NoSpacing"/>
              <w:numPr>
                <w:ilvl w:val="0"/>
                <w:numId w:val="8"/>
              </w:numPr>
            </w:pPr>
            <w:r>
              <w:t xml:space="preserve">For a measurement period (either 6 or 12-months) where the denominator size is greater than 380, providers must report on all cases (preferred, particularly for providers using an electronic health record) or a random sample of cases that is not less than 20% of all cases; however, providers may cap the total sample size at 300 cases. </w:t>
            </w:r>
          </w:p>
        </w:tc>
      </w:tr>
      <w:tr w:rsidR="00210039" w14:paraId="780D73E2" w14:textId="77777777" w:rsidTr="0071629B">
        <w:tc>
          <w:tcPr>
            <w:tcW w:w="2538" w:type="dxa"/>
          </w:tcPr>
          <w:p w14:paraId="780D73E0" w14:textId="77777777" w:rsidR="00210039" w:rsidRPr="00717546" w:rsidRDefault="00210039" w:rsidP="00AF103E">
            <w:pPr>
              <w:pStyle w:val="NoSpacing"/>
              <w:rPr>
                <w:b/>
              </w:rPr>
            </w:pPr>
            <w:r>
              <w:rPr>
                <w:b/>
              </w:rPr>
              <w:lastRenderedPageBreak/>
              <w:t xml:space="preserve">Numerator Description </w:t>
            </w:r>
          </w:p>
        </w:tc>
        <w:tc>
          <w:tcPr>
            <w:tcW w:w="7038" w:type="dxa"/>
          </w:tcPr>
          <w:p w14:paraId="27FD4440" w14:textId="2E660B93" w:rsidR="00210039" w:rsidRDefault="00210039" w:rsidP="00FC1A1F">
            <w:pPr>
              <w:pStyle w:val="NoSpacing"/>
            </w:pPr>
            <w:bookmarkStart w:id="0" w:name="_GoBack"/>
            <w:r>
              <w:t>Patients who had each of the following during the measurement year:</w:t>
            </w:r>
          </w:p>
          <w:p w14:paraId="5E93D402" w14:textId="6B035BBD" w:rsidR="00210039" w:rsidRDefault="00210039" w:rsidP="00FC1A1F">
            <w:pPr>
              <w:pStyle w:val="NoSpacing"/>
              <w:numPr>
                <w:ilvl w:val="0"/>
                <w:numId w:val="14"/>
              </w:numPr>
            </w:pPr>
            <w:r w:rsidRPr="00FC1A1F">
              <w:rPr>
                <w:i/>
              </w:rPr>
              <w:t>Low-density Lipoprotein Cholesterol (LDL-C) Screening</w:t>
            </w:r>
            <w:r>
              <w:t>: An LDL-C test performed during the measurement year.</w:t>
            </w:r>
          </w:p>
          <w:p w14:paraId="780D73E1" w14:textId="7AE3586B" w:rsidR="00210039" w:rsidRPr="009F7E66" w:rsidRDefault="00210039" w:rsidP="00FC1A1F">
            <w:pPr>
              <w:pStyle w:val="NoSpacing"/>
              <w:numPr>
                <w:ilvl w:val="0"/>
                <w:numId w:val="14"/>
              </w:numPr>
            </w:pPr>
            <w:r w:rsidRPr="00FC1A1F">
              <w:rPr>
                <w:i/>
              </w:rPr>
              <w:t>LDL-C Control (Less Than 100 mg/</w:t>
            </w:r>
            <w:proofErr w:type="spellStart"/>
            <w:r w:rsidRPr="00FC1A1F">
              <w:rPr>
                <w:i/>
              </w:rPr>
              <w:t>dL</w:t>
            </w:r>
            <w:proofErr w:type="spellEnd"/>
            <w:r w:rsidRPr="00FC1A1F">
              <w:rPr>
                <w:i/>
              </w:rPr>
              <w:t>)</w:t>
            </w:r>
            <w:r>
              <w:t>: The most recent LDL-C level during the measurement year is less than 100 mg/</w:t>
            </w:r>
            <w:proofErr w:type="spellStart"/>
            <w:r>
              <w:t>dL</w:t>
            </w:r>
            <w:proofErr w:type="spellEnd"/>
            <w:r>
              <w:t>.</w:t>
            </w:r>
            <w:bookmarkEnd w:id="0"/>
          </w:p>
        </w:tc>
      </w:tr>
      <w:tr w:rsidR="00210039" w14:paraId="780D73E5" w14:textId="77777777" w:rsidTr="0071629B">
        <w:tc>
          <w:tcPr>
            <w:tcW w:w="2538" w:type="dxa"/>
          </w:tcPr>
          <w:p w14:paraId="780D73E3" w14:textId="77777777" w:rsidR="00210039" w:rsidRPr="00717546" w:rsidRDefault="00210039" w:rsidP="00AF103E">
            <w:pPr>
              <w:pStyle w:val="NoSpacing"/>
              <w:rPr>
                <w:b/>
              </w:rPr>
            </w:pPr>
            <w:r>
              <w:rPr>
                <w:b/>
              </w:rPr>
              <w:t>Numerator Inclusions</w:t>
            </w:r>
          </w:p>
        </w:tc>
        <w:tc>
          <w:tcPr>
            <w:tcW w:w="7038" w:type="dxa"/>
          </w:tcPr>
          <w:p w14:paraId="780D73E4" w14:textId="6B35AED6" w:rsidR="00210039" w:rsidRPr="002D4F0E" w:rsidRDefault="00210039" w:rsidP="002D4F0E">
            <w:pPr>
              <w:numPr>
                <w:ilvl w:val="0"/>
                <w:numId w:val="15"/>
              </w:numPr>
              <w:spacing w:line="240" w:lineRule="auto"/>
              <w:rPr>
                <w:rFonts w:eastAsia="Times New Roman" w:cs="Times New Roman"/>
              </w:rPr>
            </w:pPr>
            <w:r>
              <w:t>The Measure Steward does not identify specific numerator inclusions beyond what is described in the numerator description.</w:t>
            </w:r>
          </w:p>
        </w:tc>
      </w:tr>
      <w:tr w:rsidR="00210039" w14:paraId="780D73E8" w14:textId="77777777" w:rsidTr="0071629B">
        <w:tc>
          <w:tcPr>
            <w:tcW w:w="2538" w:type="dxa"/>
          </w:tcPr>
          <w:p w14:paraId="780D73E6" w14:textId="77777777" w:rsidR="00210039" w:rsidRPr="00717546" w:rsidRDefault="00210039" w:rsidP="00AF103E">
            <w:pPr>
              <w:pStyle w:val="NoSpacing"/>
              <w:rPr>
                <w:b/>
              </w:rPr>
            </w:pPr>
            <w:r>
              <w:rPr>
                <w:b/>
              </w:rPr>
              <w:t>Numerator Exclusions</w:t>
            </w:r>
          </w:p>
        </w:tc>
        <w:tc>
          <w:tcPr>
            <w:tcW w:w="7038" w:type="dxa"/>
          </w:tcPr>
          <w:p w14:paraId="780D73E7" w14:textId="00D9921E" w:rsidR="00210039" w:rsidRPr="001D6BEA" w:rsidRDefault="00210039" w:rsidP="006064CB">
            <w:pPr>
              <w:pStyle w:val="NoSpacing"/>
            </w:pPr>
            <w:r>
              <w:t>The patient is noncompliant if the result for the most recent LDL-C test is greater than or equal to 100 mg/</w:t>
            </w:r>
            <w:proofErr w:type="spellStart"/>
            <w:r>
              <w:t>dL</w:t>
            </w:r>
            <w:proofErr w:type="spellEnd"/>
            <w:r>
              <w:t xml:space="preserve"> or is missing, or if an LDL-C test was not done during the measurement year.</w:t>
            </w:r>
          </w:p>
        </w:tc>
      </w:tr>
      <w:tr w:rsidR="00210039" w14:paraId="780D73EB" w14:textId="77777777" w:rsidTr="0071629B">
        <w:tc>
          <w:tcPr>
            <w:tcW w:w="2538" w:type="dxa"/>
          </w:tcPr>
          <w:p w14:paraId="780D73E9" w14:textId="77777777" w:rsidR="00210039" w:rsidRPr="00717546" w:rsidRDefault="00210039" w:rsidP="00A374B8">
            <w:pPr>
              <w:pStyle w:val="NoSpacing"/>
              <w:rPr>
                <w:b/>
              </w:rPr>
            </w:pPr>
            <w:r>
              <w:rPr>
                <w:b/>
              </w:rPr>
              <w:t>Setting</w:t>
            </w:r>
          </w:p>
        </w:tc>
        <w:tc>
          <w:tcPr>
            <w:tcW w:w="7038" w:type="dxa"/>
          </w:tcPr>
          <w:p w14:paraId="780D73EA" w14:textId="649DE60B" w:rsidR="00210039" w:rsidRDefault="00210039" w:rsidP="00CD7069">
            <w:pPr>
              <w:pStyle w:val="NoSpacing"/>
            </w:pPr>
            <w:r>
              <w:t>Ambulatory</w:t>
            </w:r>
          </w:p>
        </w:tc>
      </w:tr>
      <w:tr w:rsidR="00210039" w14:paraId="780D73EE" w14:textId="77777777" w:rsidTr="0071629B">
        <w:tc>
          <w:tcPr>
            <w:tcW w:w="2538" w:type="dxa"/>
          </w:tcPr>
          <w:p w14:paraId="780D73EC" w14:textId="77777777" w:rsidR="00210039" w:rsidRDefault="00210039" w:rsidP="00A374B8">
            <w:pPr>
              <w:pStyle w:val="NoSpacing"/>
              <w:rPr>
                <w:b/>
              </w:rPr>
            </w:pPr>
            <w:r>
              <w:rPr>
                <w:b/>
              </w:rPr>
              <w:t>Data Source</w:t>
            </w:r>
          </w:p>
        </w:tc>
        <w:tc>
          <w:tcPr>
            <w:tcW w:w="7038" w:type="dxa"/>
          </w:tcPr>
          <w:p w14:paraId="780D73ED" w14:textId="544013FF" w:rsidR="00210039" w:rsidRDefault="00210039" w:rsidP="00244761">
            <w:pPr>
              <w:pStyle w:val="NoSpacing"/>
            </w:pPr>
            <w:r>
              <w:t>Administrative clinical data; Laboratory data; Paper medical record</w:t>
            </w:r>
          </w:p>
        </w:tc>
      </w:tr>
      <w:tr w:rsidR="00210039" w14:paraId="780D740D" w14:textId="77777777" w:rsidTr="0071629B">
        <w:tc>
          <w:tcPr>
            <w:tcW w:w="2538" w:type="dxa"/>
          </w:tcPr>
          <w:p w14:paraId="780D73EF" w14:textId="05813764" w:rsidR="00210039" w:rsidRPr="00717546" w:rsidRDefault="00210039" w:rsidP="00F05C01">
            <w:pPr>
              <w:pStyle w:val="NoSpacing"/>
              <w:rPr>
                <w:b/>
              </w:rPr>
            </w:pPr>
            <w:r>
              <w:rPr>
                <w:b/>
              </w:rPr>
              <w:t>Allowable Denominator Sub-sets</w:t>
            </w:r>
          </w:p>
        </w:tc>
        <w:tc>
          <w:tcPr>
            <w:tcW w:w="7038" w:type="dxa"/>
          </w:tcPr>
          <w:p w14:paraId="74207961" w14:textId="77777777" w:rsidR="00210039" w:rsidRDefault="00210039" w:rsidP="00283705">
            <w:pPr>
              <w:pStyle w:val="NoSpacing"/>
            </w:pPr>
            <w:r>
              <w:t>All denominator subsets are permissible for this outcome</w:t>
            </w:r>
          </w:p>
          <w:p w14:paraId="780D740C" w14:textId="37AA4868" w:rsidR="00210039" w:rsidRDefault="00210039" w:rsidP="00230B11">
            <w:pPr>
              <w:pStyle w:val="NoSpacing"/>
              <w:ind w:left="720"/>
            </w:pPr>
            <w:r>
              <w:t> </w:t>
            </w:r>
          </w:p>
        </w:tc>
      </w:tr>
    </w:tbl>
    <w:p w14:paraId="780D745C"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E0092" w14:textId="77777777" w:rsidR="009674F1" w:rsidRDefault="009674F1" w:rsidP="00F63191">
      <w:pPr>
        <w:spacing w:after="0" w:line="240" w:lineRule="auto"/>
      </w:pPr>
      <w:r>
        <w:separator/>
      </w:r>
    </w:p>
  </w:endnote>
  <w:endnote w:type="continuationSeparator" w:id="0">
    <w:p w14:paraId="5C1B7BA1" w14:textId="77777777" w:rsidR="009674F1" w:rsidRDefault="009674F1"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C8F9" w14:textId="07A13905" w:rsidR="00174E08" w:rsidRDefault="00174E08">
    <w:pPr>
      <w:pStyle w:val="Footer"/>
    </w:pPr>
    <w:r>
      <w:t>9/1</w:t>
    </w:r>
    <w:r w:rsidR="0041132E">
      <w:t>8</w:t>
    </w:r>
    <w:r>
      <w:t>/14</w:t>
    </w:r>
  </w:p>
  <w:p w14:paraId="780D746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47B8B" w14:textId="77777777" w:rsidR="009674F1" w:rsidRDefault="009674F1" w:rsidP="00F63191">
      <w:pPr>
        <w:spacing w:after="0" w:line="240" w:lineRule="auto"/>
      </w:pPr>
      <w:r>
        <w:separator/>
      </w:r>
    </w:p>
  </w:footnote>
  <w:footnote w:type="continuationSeparator" w:id="0">
    <w:p w14:paraId="54E74E18" w14:textId="77777777" w:rsidR="009674F1" w:rsidRDefault="009674F1"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7461" w14:textId="047639E7"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14D38"/>
    <w:multiLevelType w:val="hybridMultilevel"/>
    <w:tmpl w:val="59A0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237013"/>
    <w:multiLevelType w:val="multilevel"/>
    <w:tmpl w:val="957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01334E"/>
    <w:multiLevelType w:val="multilevel"/>
    <w:tmpl w:val="088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D5A92"/>
    <w:multiLevelType w:val="multilevel"/>
    <w:tmpl w:val="DD883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5B76A0"/>
    <w:multiLevelType w:val="hybridMultilevel"/>
    <w:tmpl w:val="796A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F3AF4"/>
    <w:multiLevelType w:val="hybridMultilevel"/>
    <w:tmpl w:val="D28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1"/>
  </w:num>
  <w:num w:numId="5">
    <w:abstractNumId w:val="3"/>
  </w:num>
  <w:num w:numId="6">
    <w:abstractNumId w:val="8"/>
  </w:num>
  <w:num w:numId="7">
    <w:abstractNumId w:val="15"/>
  </w:num>
  <w:num w:numId="8">
    <w:abstractNumId w:val="9"/>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6"/>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A2D99"/>
    <w:rsid w:val="000C575F"/>
    <w:rsid w:val="000D1199"/>
    <w:rsid w:val="000D5A2D"/>
    <w:rsid w:val="000E7EED"/>
    <w:rsid w:val="00100A2F"/>
    <w:rsid w:val="00107C1A"/>
    <w:rsid w:val="00116208"/>
    <w:rsid w:val="0011709A"/>
    <w:rsid w:val="00143E67"/>
    <w:rsid w:val="00165D76"/>
    <w:rsid w:val="00174E08"/>
    <w:rsid w:val="001933C7"/>
    <w:rsid w:val="001D6BEA"/>
    <w:rsid w:val="00210039"/>
    <w:rsid w:val="002224F0"/>
    <w:rsid w:val="00230B11"/>
    <w:rsid w:val="00244761"/>
    <w:rsid w:val="00245754"/>
    <w:rsid w:val="00271E53"/>
    <w:rsid w:val="002845C2"/>
    <w:rsid w:val="002D4F0E"/>
    <w:rsid w:val="002E14AF"/>
    <w:rsid w:val="0032246B"/>
    <w:rsid w:val="003268B7"/>
    <w:rsid w:val="00346B8D"/>
    <w:rsid w:val="00356CF4"/>
    <w:rsid w:val="00366D0B"/>
    <w:rsid w:val="00375652"/>
    <w:rsid w:val="00383516"/>
    <w:rsid w:val="003844DB"/>
    <w:rsid w:val="003A409E"/>
    <w:rsid w:val="003F4E8D"/>
    <w:rsid w:val="0041132E"/>
    <w:rsid w:val="00416E44"/>
    <w:rsid w:val="00491EA2"/>
    <w:rsid w:val="004A15A7"/>
    <w:rsid w:val="004E7F26"/>
    <w:rsid w:val="00502BE4"/>
    <w:rsid w:val="00506BC5"/>
    <w:rsid w:val="0052036B"/>
    <w:rsid w:val="00536799"/>
    <w:rsid w:val="00561D6D"/>
    <w:rsid w:val="005802A0"/>
    <w:rsid w:val="005857E6"/>
    <w:rsid w:val="00596E41"/>
    <w:rsid w:val="005B79DD"/>
    <w:rsid w:val="005C70A1"/>
    <w:rsid w:val="005F4D43"/>
    <w:rsid w:val="005F55A6"/>
    <w:rsid w:val="006064CB"/>
    <w:rsid w:val="0062016F"/>
    <w:rsid w:val="0071629B"/>
    <w:rsid w:val="007164C7"/>
    <w:rsid w:val="00743628"/>
    <w:rsid w:val="007453E2"/>
    <w:rsid w:val="00760D27"/>
    <w:rsid w:val="00787D45"/>
    <w:rsid w:val="007C728B"/>
    <w:rsid w:val="007C7C85"/>
    <w:rsid w:val="007E0395"/>
    <w:rsid w:val="007F675B"/>
    <w:rsid w:val="007F7C07"/>
    <w:rsid w:val="00817F28"/>
    <w:rsid w:val="00823868"/>
    <w:rsid w:val="00827557"/>
    <w:rsid w:val="008722BB"/>
    <w:rsid w:val="00874FAA"/>
    <w:rsid w:val="008779F5"/>
    <w:rsid w:val="0088642E"/>
    <w:rsid w:val="00886E0E"/>
    <w:rsid w:val="008A5405"/>
    <w:rsid w:val="008D1A8E"/>
    <w:rsid w:val="008F0411"/>
    <w:rsid w:val="008F249E"/>
    <w:rsid w:val="009315B1"/>
    <w:rsid w:val="00965A2A"/>
    <w:rsid w:val="009674F1"/>
    <w:rsid w:val="00967948"/>
    <w:rsid w:val="00994A41"/>
    <w:rsid w:val="00996DD5"/>
    <w:rsid w:val="009A7508"/>
    <w:rsid w:val="009C6EA3"/>
    <w:rsid w:val="009F04D0"/>
    <w:rsid w:val="009F78A7"/>
    <w:rsid w:val="009F7E66"/>
    <w:rsid w:val="00A11BD9"/>
    <w:rsid w:val="00A82574"/>
    <w:rsid w:val="00A85014"/>
    <w:rsid w:val="00AA0CA2"/>
    <w:rsid w:val="00AC3A97"/>
    <w:rsid w:val="00AD706B"/>
    <w:rsid w:val="00AF201E"/>
    <w:rsid w:val="00AF3A3D"/>
    <w:rsid w:val="00B05CBF"/>
    <w:rsid w:val="00B20462"/>
    <w:rsid w:val="00B546CF"/>
    <w:rsid w:val="00B65D92"/>
    <w:rsid w:val="00B7257A"/>
    <w:rsid w:val="00BA61F1"/>
    <w:rsid w:val="00BC4643"/>
    <w:rsid w:val="00C01E6F"/>
    <w:rsid w:val="00C36D72"/>
    <w:rsid w:val="00C668B5"/>
    <w:rsid w:val="00C86C48"/>
    <w:rsid w:val="00C9758A"/>
    <w:rsid w:val="00CA2D3E"/>
    <w:rsid w:val="00CA4C08"/>
    <w:rsid w:val="00CC28BC"/>
    <w:rsid w:val="00CD7069"/>
    <w:rsid w:val="00D1777E"/>
    <w:rsid w:val="00D63CD3"/>
    <w:rsid w:val="00DB7651"/>
    <w:rsid w:val="00DE660A"/>
    <w:rsid w:val="00E1692C"/>
    <w:rsid w:val="00E43145"/>
    <w:rsid w:val="00EB6678"/>
    <w:rsid w:val="00EF333D"/>
    <w:rsid w:val="00F05C01"/>
    <w:rsid w:val="00F069C3"/>
    <w:rsid w:val="00F06C5E"/>
    <w:rsid w:val="00F20443"/>
    <w:rsid w:val="00F63191"/>
    <w:rsid w:val="00F64CD1"/>
    <w:rsid w:val="00F927B0"/>
    <w:rsid w:val="00FC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note">
    <w:name w:val="note"/>
    <w:basedOn w:val="Normal"/>
    <w:rsid w:val="00FC1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A1F"/>
    <w:rPr>
      <w:b/>
      <w:bCs/>
    </w:rPr>
  </w:style>
  <w:style w:type="paragraph" w:styleId="NormalWeb">
    <w:name w:val="Normal (Web)"/>
    <w:basedOn w:val="Normal"/>
    <w:uiPriority w:val="99"/>
    <w:semiHidden/>
    <w:unhideWhenUsed/>
    <w:rsid w:val="005203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036B"/>
    <w:rPr>
      <w:i/>
      <w:iCs/>
    </w:rPr>
  </w:style>
  <w:style w:type="paragraph" w:styleId="ListParagraph">
    <w:name w:val="List Paragraph"/>
    <w:basedOn w:val="Normal"/>
    <w:uiPriority w:val="34"/>
    <w:qFormat/>
    <w:rsid w:val="0062016F"/>
    <w:pPr>
      <w:ind w:left="720"/>
      <w:contextualSpacing/>
    </w:pPr>
  </w:style>
  <w:style w:type="character" w:styleId="FollowedHyperlink">
    <w:name w:val="FollowedHyperlink"/>
    <w:basedOn w:val="DefaultParagraphFont"/>
    <w:uiPriority w:val="99"/>
    <w:semiHidden/>
    <w:unhideWhenUsed/>
    <w:rsid w:val="002100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note">
    <w:name w:val="note"/>
    <w:basedOn w:val="Normal"/>
    <w:rsid w:val="00FC1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A1F"/>
    <w:rPr>
      <w:b/>
      <w:bCs/>
    </w:rPr>
  </w:style>
  <w:style w:type="paragraph" w:styleId="NormalWeb">
    <w:name w:val="Normal (Web)"/>
    <w:basedOn w:val="Normal"/>
    <w:uiPriority w:val="99"/>
    <w:semiHidden/>
    <w:unhideWhenUsed/>
    <w:rsid w:val="005203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036B"/>
    <w:rPr>
      <w:i/>
      <w:iCs/>
    </w:rPr>
  </w:style>
  <w:style w:type="paragraph" w:styleId="ListParagraph">
    <w:name w:val="List Paragraph"/>
    <w:basedOn w:val="Normal"/>
    <w:uiPriority w:val="34"/>
    <w:qFormat/>
    <w:rsid w:val="0062016F"/>
    <w:pPr>
      <w:ind w:left="720"/>
      <w:contextualSpacing/>
    </w:pPr>
  </w:style>
  <w:style w:type="character" w:styleId="FollowedHyperlink">
    <w:name w:val="FollowedHyperlink"/>
    <w:basedOn w:val="DefaultParagraphFont"/>
    <w:uiPriority w:val="99"/>
    <w:semiHidden/>
    <w:unhideWhenUsed/>
    <w:rsid w:val="00210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456528486">
      <w:bodyDiv w:val="1"/>
      <w:marLeft w:val="0"/>
      <w:marRight w:val="0"/>
      <w:marTop w:val="0"/>
      <w:marBottom w:val="0"/>
      <w:divBdr>
        <w:top w:val="none" w:sz="0" w:space="0" w:color="auto"/>
        <w:left w:val="none" w:sz="0" w:space="0" w:color="auto"/>
        <w:bottom w:val="none" w:sz="0" w:space="0" w:color="auto"/>
        <w:right w:val="none" w:sz="0" w:space="0" w:color="auto"/>
      </w:divBdr>
    </w:div>
    <w:div w:id="1469977298">
      <w:bodyDiv w:val="1"/>
      <w:marLeft w:val="0"/>
      <w:marRight w:val="0"/>
      <w:marTop w:val="0"/>
      <w:marBottom w:val="0"/>
      <w:divBdr>
        <w:top w:val="none" w:sz="0" w:space="0" w:color="auto"/>
        <w:left w:val="none" w:sz="0" w:space="0" w:color="auto"/>
        <w:bottom w:val="none" w:sz="0" w:space="0" w:color="auto"/>
        <w:right w:val="none" w:sz="0" w:space="0" w:color="auto"/>
      </w:divBdr>
    </w:div>
    <w:div w:id="1662613996">
      <w:bodyDiv w:val="1"/>
      <w:marLeft w:val="0"/>
      <w:marRight w:val="0"/>
      <w:marTop w:val="0"/>
      <w:marBottom w:val="0"/>
      <w:divBdr>
        <w:top w:val="none" w:sz="0" w:space="0" w:color="auto"/>
        <w:left w:val="none" w:sz="0" w:space="0" w:color="auto"/>
        <w:bottom w:val="none" w:sz="0" w:space="0" w:color="auto"/>
        <w:right w:val="none" w:sz="0" w:space="0" w:color="auto"/>
      </w:divBdr>
    </w:div>
    <w:div w:id="19464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measures.ahrq.gov/content.aspx?id=4717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BF1FE1EB-2A10-45C8-93A6-B2FEF5C1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3</cp:revision>
  <dcterms:created xsi:type="dcterms:W3CDTF">2014-09-18T21:16:00Z</dcterms:created>
  <dcterms:modified xsi:type="dcterms:W3CDTF">2014-09-29T18:25:00Z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