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D73B2" w14:textId="6259DEB9" w:rsidR="00AD706B" w:rsidRDefault="00AD706B" w:rsidP="00AD706B">
      <w:pPr>
        <w:pStyle w:val="Heading1"/>
      </w:pPr>
      <w:r>
        <w:t>IT-</w:t>
      </w:r>
      <w:r w:rsidR="00C07E54">
        <w:t>1</w:t>
      </w:r>
      <w:r w:rsidR="00193811">
        <w:t>.</w:t>
      </w:r>
      <w:r w:rsidR="006022C9">
        <w:t>5</w:t>
      </w:r>
      <w:r>
        <w:t xml:space="preserve">:  </w:t>
      </w:r>
      <w:r w:rsidR="00C07E54" w:rsidRPr="00C07E54">
        <w:t xml:space="preserve">Annual monitoring for patients on persistent medications - </w:t>
      </w:r>
      <w:r w:rsidR="006F5FB8">
        <w:t>Anticonvulsant</w:t>
      </w:r>
    </w:p>
    <w:tbl>
      <w:tblPr>
        <w:tblStyle w:val="TableGrid"/>
        <w:tblW w:w="0" w:type="auto"/>
        <w:tblLayout w:type="fixed"/>
        <w:tblLook w:val="04A0" w:firstRow="1" w:lastRow="0" w:firstColumn="1" w:lastColumn="0" w:noHBand="0" w:noVBand="1"/>
      </w:tblPr>
      <w:tblGrid>
        <w:gridCol w:w="1728"/>
        <w:gridCol w:w="2894"/>
        <w:gridCol w:w="2502"/>
        <w:gridCol w:w="2452"/>
      </w:tblGrid>
      <w:tr w:rsidR="00AD706B" w14:paraId="780D73B5" w14:textId="77777777" w:rsidTr="00984410">
        <w:trPr>
          <w:tblHeader/>
        </w:trPr>
        <w:tc>
          <w:tcPr>
            <w:tcW w:w="1728" w:type="dxa"/>
            <w:shd w:val="clear" w:color="auto" w:fill="F2F2F2" w:themeFill="background1" w:themeFillShade="F2"/>
          </w:tcPr>
          <w:p w14:paraId="780D73B3" w14:textId="77777777" w:rsidR="00AD706B" w:rsidRPr="00717546" w:rsidRDefault="00AD706B" w:rsidP="00A374B8">
            <w:pPr>
              <w:pStyle w:val="NoSpacing"/>
              <w:rPr>
                <w:b/>
              </w:rPr>
            </w:pPr>
            <w:r w:rsidRPr="00717546">
              <w:rPr>
                <w:b/>
              </w:rPr>
              <w:t>Measure Title</w:t>
            </w:r>
          </w:p>
        </w:tc>
        <w:tc>
          <w:tcPr>
            <w:tcW w:w="7848" w:type="dxa"/>
            <w:gridSpan w:val="3"/>
            <w:shd w:val="clear" w:color="auto" w:fill="F2F2F2" w:themeFill="background1" w:themeFillShade="F2"/>
          </w:tcPr>
          <w:p w14:paraId="780D73B4" w14:textId="3F4EDE3A" w:rsidR="00AD706B" w:rsidRPr="008779F5" w:rsidRDefault="00284634" w:rsidP="00193811">
            <w:pPr>
              <w:pStyle w:val="NoSpacing"/>
              <w:rPr>
                <w:b/>
              </w:rPr>
            </w:pPr>
            <w:r w:rsidRPr="00284634">
              <w:rPr>
                <w:b/>
              </w:rPr>
              <w:t xml:space="preserve">Annual monitoring for patients on persistent medications - </w:t>
            </w:r>
            <w:r w:rsidR="00A079A7" w:rsidRPr="00A079A7">
              <w:rPr>
                <w:b/>
              </w:rPr>
              <w:t>Anticonvulsant</w:t>
            </w:r>
          </w:p>
        </w:tc>
      </w:tr>
      <w:tr w:rsidR="00AD706B" w14:paraId="780D73B8" w14:textId="77777777" w:rsidTr="00984410">
        <w:tc>
          <w:tcPr>
            <w:tcW w:w="1728" w:type="dxa"/>
          </w:tcPr>
          <w:p w14:paraId="780D73B6" w14:textId="77777777" w:rsidR="00AD706B" w:rsidRPr="00717546" w:rsidRDefault="00AD706B" w:rsidP="00A374B8">
            <w:pPr>
              <w:pStyle w:val="NoSpacing"/>
              <w:rPr>
                <w:b/>
              </w:rPr>
            </w:pPr>
            <w:r w:rsidRPr="00717546">
              <w:rPr>
                <w:b/>
              </w:rPr>
              <w:t>Description</w:t>
            </w:r>
          </w:p>
        </w:tc>
        <w:tc>
          <w:tcPr>
            <w:tcW w:w="7848" w:type="dxa"/>
            <w:gridSpan w:val="3"/>
          </w:tcPr>
          <w:p w14:paraId="780D73B7" w14:textId="2CC24D34" w:rsidR="00AD706B" w:rsidRDefault="00A124EE" w:rsidP="006F5FB8">
            <w:pPr>
              <w:pStyle w:val="NoSpacing"/>
            </w:pPr>
            <w:r>
              <w:t>P</w:t>
            </w:r>
            <w:r w:rsidRPr="00A124EE">
              <w:t xml:space="preserve">ercentage of </w:t>
            </w:r>
            <w:r>
              <w:t>patients</w:t>
            </w:r>
            <w:r w:rsidRPr="00A124EE">
              <w:t xml:space="preserve"> 18 years of age and older who received at least 180 treatment days of </w:t>
            </w:r>
            <w:r w:rsidR="00A332FD">
              <w:t>a</w:t>
            </w:r>
            <w:r w:rsidR="006F5FB8">
              <w:t>n</w:t>
            </w:r>
            <w:r w:rsidR="00A332FD">
              <w:t xml:space="preserve"> </w:t>
            </w:r>
            <w:r w:rsidR="006F5FB8">
              <w:t>anticonvulsant</w:t>
            </w:r>
            <w:r w:rsidRPr="00A124EE">
              <w:t xml:space="preserve"> in the measurement year and had at least one serum potassium and either a serum creatinine or a blood urea nitrogen therapeutic monitoring test in the measurement year.</w:t>
            </w:r>
          </w:p>
        </w:tc>
      </w:tr>
      <w:tr w:rsidR="00AD706B" w14:paraId="780D73BB" w14:textId="77777777" w:rsidTr="00984410">
        <w:tc>
          <w:tcPr>
            <w:tcW w:w="1728" w:type="dxa"/>
          </w:tcPr>
          <w:p w14:paraId="780D73B9" w14:textId="77777777" w:rsidR="00AD706B" w:rsidRPr="00717546" w:rsidRDefault="00AD706B" w:rsidP="00A374B8">
            <w:pPr>
              <w:pStyle w:val="NoSpacing"/>
              <w:rPr>
                <w:b/>
              </w:rPr>
            </w:pPr>
            <w:r w:rsidRPr="00717546">
              <w:rPr>
                <w:b/>
              </w:rPr>
              <w:t>NQF Number</w:t>
            </w:r>
          </w:p>
        </w:tc>
        <w:tc>
          <w:tcPr>
            <w:tcW w:w="7848" w:type="dxa"/>
            <w:gridSpan w:val="3"/>
          </w:tcPr>
          <w:p w14:paraId="780D73BA" w14:textId="62460292" w:rsidR="00AD706B" w:rsidRDefault="00A124EE" w:rsidP="00B05CBF">
            <w:pPr>
              <w:pStyle w:val="NoSpacing"/>
            </w:pPr>
            <w:r>
              <w:t>Not applicable</w:t>
            </w:r>
          </w:p>
        </w:tc>
      </w:tr>
      <w:tr w:rsidR="00AD706B" w14:paraId="780D73BE" w14:textId="77777777" w:rsidTr="00984410">
        <w:tc>
          <w:tcPr>
            <w:tcW w:w="1728" w:type="dxa"/>
          </w:tcPr>
          <w:p w14:paraId="780D73BC" w14:textId="77777777" w:rsidR="00AD706B" w:rsidRPr="00717546" w:rsidRDefault="00AD706B" w:rsidP="00A374B8">
            <w:pPr>
              <w:pStyle w:val="NoSpacing"/>
              <w:rPr>
                <w:b/>
              </w:rPr>
            </w:pPr>
            <w:r>
              <w:rPr>
                <w:b/>
              </w:rPr>
              <w:t>Measure Steward</w:t>
            </w:r>
          </w:p>
        </w:tc>
        <w:tc>
          <w:tcPr>
            <w:tcW w:w="7848" w:type="dxa"/>
            <w:gridSpan w:val="3"/>
          </w:tcPr>
          <w:p w14:paraId="780D73BD" w14:textId="6779D3A8" w:rsidR="00AD706B" w:rsidRPr="00631E85" w:rsidRDefault="00A124EE" w:rsidP="00A374B8">
            <w:pPr>
              <w:pStyle w:val="NoSpacing"/>
            </w:pPr>
            <w:r>
              <w:t>National Committee for Quality Assurance</w:t>
            </w:r>
          </w:p>
        </w:tc>
      </w:tr>
      <w:tr w:rsidR="00AD706B" w14:paraId="780D73C1" w14:textId="77777777" w:rsidTr="00984410">
        <w:tc>
          <w:tcPr>
            <w:tcW w:w="1728" w:type="dxa"/>
          </w:tcPr>
          <w:p w14:paraId="780D73BF" w14:textId="77777777" w:rsidR="00AD706B" w:rsidRDefault="00AD706B" w:rsidP="00A374B8">
            <w:pPr>
              <w:pStyle w:val="NoSpacing"/>
              <w:rPr>
                <w:b/>
              </w:rPr>
            </w:pPr>
            <w:r>
              <w:rPr>
                <w:b/>
              </w:rPr>
              <w:t>Link to measure citation</w:t>
            </w:r>
          </w:p>
        </w:tc>
        <w:tc>
          <w:tcPr>
            <w:tcW w:w="7848" w:type="dxa"/>
            <w:gridSpan w:val="3"/>
          </w:tcPr>
          <w:p w14:paraId="1169582B" w14:textId="77777777" w:rsidR="00AD706B" w:rsidRDefault="00984410" w:rsidP="00561D6D">
            <w:pPr>
              <w:pStyle w:val="NoSpacing"/>
            </w:pPr>
            <w:hyperlink r:id="rId12" w:history="1">
              <w:r w:rsidR="00520BB8" w:rsidRPr="007846AE">
                <w:rPr>
                  <w:rStyle w:val="Hyperlink"/>
                </w:rPr>
                <w:t>http://www.qualitymeasures.ahrq.gov/content.aspx?id=38912</w:t>
              </w:r>
            </w:hyperlink>
            <w:r w:rsidR="00520BB8">
              <w:t xml:space="preserve"> </w:t>
            </w:r>
          </w:p>
          <w:p w14:paraId="1168281D" w14:textId="77777777" w:rsidR="006022C9" w:rsidRDefault="006022C9" w:rsidP="00561D6D">
            <w:pPr>
              <w:pStyle w:val="NoSpacing"/>
            </w:pPr>
          </w:p>
          <w:p w14:paraId="780D73C0" w14:textId="5D34A148" w:rsidR="006022C9" w:rsidRPr="00631E85" w:rsidRDefault="006022C9" w:rsidP="006022C9">
            <w:pPr>
              <w:pStyle w:val="NoSpacing"/>
            </w:pPr>
            <w:r>
              <w:t xml:space="preserve">HEDIS 2014 NDC Lists: </w:t>
            </w:r>
            <w:hyperlink r:id="rId13" w:history="1">
              <w:r w:rsidRPr="00244E9E">
                <w:rPr>
                  <w:rStyle w:val="Hyperlink"/>
                </w:rPr>
                <w:t>http://www.ncqa.org/HEDISQualityMeasurement/HEDISMeasures/HEDIS2014/HEDIS2014FinalNDCLists.aspx</w:t>
              </w:r>
            </w:hyperlink>
          </w:p>
        </w:tc>
      </w:tr>
      <w:tr w:rsidR="00AD706B" w14:paraId="780D73C4" w14:textId="77777777" w:rsidTr="00984410">
        <w:tc>
          <w:tcPr>
            <w:tcW w:w="1728" w:type="dxa"/>
          </w:tcPr>
          <w:p w14:paraId="780D73C2" w14:textId="77777777" w:rsidR="00AD706B" w:rsidRDefault="00AD706B" w:rsidP="00A374B8">
            <w:pPr>
              <w:pStyle w:val="NoSpacing"/>
              <w:rPr>
                <w:b/>
              </w:rPr>
            </w:pPr>
            <w:r>
              <w:rPr>
                <w:b/>
              </w:rPr>
              <w:t>Measure type</w:t>
            </w:r>
          </w:p>
        </w:tc>
        <w:tc>
          <w:tcPr>
            <w:tcW w:w="7848" w:type="dxa"/>
            <w:gridSpan w:val="3"/>
          </w:tcPr>
          <w:p w14:paraId="780D73C3" w14:textId="102FE10A" w:rsidR="00AD706B" w:rsidRDefault="00520BB8" w:rsidP="00AD706B">
            <w:pPr>
              <w:pStyle w:val="NoSpacing"/>
            </w:pPr>
            <w:r>
              <w:t>Non Stand-Alone (</w:t>
            </w:r>
            <w:r w:rsidR="00A124EE">
              <w:t>NSA</w:t>
            </w:r>
            <w:r>
              <w:t>)</w:t>
            </w:r>
          </w:p>
        </w:tc>
      </w:tr>
      <w:tr w:rsidR="00AD706B" w14:paraId="780D73C7" w14:textId="77777777" w:rsidTr="00984410">
        <w:tc>
          <w:tcPr>
            <w:tcW w:w="1728" w:type="dxa"/>
          </w:tcPr>
          <w:p w14:paraId="780D73C5" w14:textId="77777777" w:rsidR="00AD706B" w:rsidRDefault="00AD706B" w:rsidP="00A374B8">
            <w:pPr>
              <w:pStyle w:val="NoSpacing"/>
              <w:rPr>
                <w:b/>
              </w:rPr>
            </w:pPr>
            <w:r>
              <w:rPr>
                <w:b/>
              </w:rPr>
              <w:t>Measure status</w:t>
            </w:r>
          </w:p>
        </w:tc>
        <w:tc>
          <w:tcPr>
            <w:tcW w:w="7848" w:type="dxa"/>
            <w:gridSpan w:val="3"/>
          </w:tcPr>
          <w:p w14:paraId="780D73C6" w14:textId="20FF6F08" w:rsidR="00AD706B" w:rsidRDefault="00A124EE" w:rsidP="00116208">
            <w:pPr>
              <w:pStyle w:val="NoSpacing"/>
            </w:pPr>
            <w:r>
              <w:t>P4P</w:t>
            </w:r>
          </w:p>
        </w:tc>
      </w:tr>
      <w:tr w:rsidR="00AD706B" w14:paraId="780D73D0" w14:textId="77777777" w:rsidTr="00984410">
        <w:tc>
          <w:tcPr>
            <w:tcW w:w="1728" w:type="dxa"/>
          </w:tcPr>
          <w:p w14:paraId="780D73C8" w14:textId="77777777" w:rsidR="00AD706B" w:rsidRPr="00717546" w:rsidRDefault="00AD706B" w:rsidP="00A374B8">
            <w:pPr>
              <w:pStyle w:val="NoSpacing"/>
              <w:rPr>
                <w:b/>
              </w:rPr>
            </w:pPr>
            <w:r>
              <w:rPr>
                <w:b/>
              </w:rPr>
              <w:t>DSRIP-specific modifications to Measure Steward’s specification</w:t>
            </w:r>
          </w:p>
        </w:tc>
        <w:tc>
          <w:tcPr>
            <w:tcW w:w="7848" w:type="dxa"/>
            <w:gridSpan w:val="3"/>
          </w:tcPr>
          <w:p w14:paraId="780D73CB" w14:textId="01A88D82" w:rsidR="009F78A7" w:rsidRDefault="009F78A7" w:rsidP="009F78A7">
            <w:pPr>
              <w:pStyle w:val="NoSpacing"/>
            </w:pPr>
            <w:r w:rsidRPr="00787D45">
              <w:t>The</w:t>
            </w:r>
            <w:r>
              <w:t xml:space="preserve"> Measure Steward’s specification has been modified as follows:</w:t>
            </w:r>
          </w:p>
          <w:p w14:paraId="0FF41F6F" w14:textId="48F9F2C0" w:rsidR="00A124EE" w:rsidRDefault="00A124EE" w:rsidP="00A124EE">
            <w:pPr>
              <w:pStyle w:val="NoSpacing"/>
              <w:numPr>
                <w:ilvl w:val="0"/>
                <w:numId w:val="9"/>
              </w:numPr>
            </w:pPr>
            <w:r w:rsidRPr="00A124EE">
              <w:t>Replac</w:t>
            </w:r>
            <w:r>
              <w:t>ed term "member" with "patient"</w:t>
            </w:r>
            <w:r w:rsidRPr="00A124EE">
              <w:t xml:space="preserve"> </w:t>
            </w:r>
          </w:p>
          <w:p w14:paraId="2D7DA2DA" w14:textId="6FA2E7D6" w:rsidR="008661AD" w:rsidRDefault="008661AD" w:rsidP="008661AD">
            <w:pPr>
              <w:pStyle w:val="NoSpacing"/>
              <w:numPr>
                <w:ilvl w:val="0"/>
                <w:numId w:val="9"/>
              </w:numPr>
            </w:pPr>
            <w:r>
              <w:t>Replaced continuous enrollment language with a requirement that the patient must have at least one outpatient encounter in the measurement year</w:t>
            </w:r>
          </w:p>
          <w:p w14:paraId="6E4AB09C" w14:textId="4C7A0F44" w:rsidR="00A124EE" w:rsidRDefault="00A124EE" w:rsidP="00A124EE">
            <w:pPr>
              <w:pStyle w:val="NoSpacing"/>
              <w:numPr>
                <w:ilvl w:val="0"/>
                <w:numId w:val="9"/>
              </w:numPr>
            </w:pPr>
            <w:r>
              <w:t>R</w:t>
            </w:r>
            <w:r w:rsidRPr="00A124EE">
              <w:t xml:space="preserve">eplaced inclusion criteria with reference to refer </w:t>
            </w:r>
            <w:r>
              <w:t>to the measure specifications</w:t>
            </w:r>
          </w:p>
          <w:p w14:paraId="72AA001E" w14:textId="77777777" w:rsidR="009F78A7" w:rsidRDefault="00A124EE" w:rsidP="00A124EE">
            <w:pPr>
              <w:pStyle w:val="NoSpacing"/>
              <w:numPr>
                <w:ilvl w:val="0"/>
                <w:numId w:val="9"/>
              </w:numPr>
            </w:pPr>
            <w:r>
              <w:t>R</w:t>
            </w:r>
            <w:r w:rsidRPr="00A124EE">
              <w:t>emoved references to Medicare specifications</w:t>
            </w:r>
          </w:p>
          <w:p w14:paraId="780D73CF" w14:textId="7ED3707C" w:rsidR="00DA0866" w:rsidRDefault="00DA0866" w:rsidP="00A124EE">
            <w:pPr>
              <w:pStyle w:val="NoSpacing"/>
              <w:numPr>
                <w:ilvl w:val="0"/>
                <w:numId w:val="9"/>
              </w:numPr>
            </w:pPr>
            <w:r>
              <w:t>Removed references to specific dates</w:t>
            </w:r>
          </w:p>
        </w:tc>
      </w:tr>
      <w:tr w:rsidR="00AD706B" w14:paraId="780D73D3" w14:textId="77777777" w:rsidTr="00984410">
        <w:tc>
          <w:tcPr>
            <w:tcW w:w="1728" w:type="dxa"/>
          </w:tcPr>
          <w:p w14:paraId="780D73D1"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7848" w:type="dxa"/>
            <w:gridSpan w:val="3"/>
          </w:tcPr>
          <w:p w14:paraId="33193E9E" w14:textId="7E9DFF60" w:rsidR="008661AD" w:rsidRDefault="00A124EE" w:rsidP="006F5FB8">
            <w:pPr>
              <w:pStyle w:val="NoSpacing"/>
            </w:pPr>
            <w:r>
              <w:t>Patients</w:t>
            </w:r>
            <w:r w:rsidR="008661AD">
              <w:t>*</w:t>
            </w:r>
            <w:r>
              <w:t xml:space="preserve"> 18 years of age and older as of the last day of the measurement year on persistent </w:t>
            </w:r>
            <w:r w:rsidR="006F5FB8">
              <w:t>anticonvulsants</w:t>
            </w:r>
            <w:r w:rsidR="008661AD">
              <w:t>**</w:t>
            </w:r>
            <w:r>
              <w:t xml:space="preserve"> -- defined as patients who received at least 180 treatment days</w:t>
            </w:r>
            <w:r w:rsidR="008661AD">
              <w:t>***</w:t>
            </w:r>
            <w:r>
              <w:t xml:space="preserve"> of ambulatory medication during the measurement year</w:t>
            </w:r>
            <w:r w:rsidR="008661AD">
              <w:t>.</w:t>
            </w:r>
          </w:p>
          <w:p w14:paraId="64730C0F" w14:textId="77777777" w:rsidR="008661AD" w:rsidRDefault="008661AD" w:rsidP="006F5FB8">
            <w:pPr>
              <w:pStyle w:val="NoSpacing"/>
            </w:pPr>
          </w:p>
          <w:p w14:paraId="54C101AE" w14:textId="77777777" w:rsidR="008661AD" w:rsidRDefault="008661AD" w:rsidP="008661AD">
            <w:pPr>
              <w:pStyle w:val="note"/>
              <w:spacing w:before="0" w:beforeAutospacing="0" w:after="0" w:afterAutospacing="0"/>
              <w:rPr>
                <w:rFonts w:asciiTheme="minorHAnsi" w:hAnsiTheme="minorHAnsi"/>
                <w:sz w:val="22"/>
                <w:szCs w:val="22"/>
              </w:rPr>
            </w:pPr>
            <w:r w:rsidRPr="00A124EE">
              <w:rPr>
                <w:rStyle w:val="Strong"/>
                <w:rFonts w:asciiTheme="minorHAnsi" w:hAnsiTheme="minorHAnsi"/>
                <w:sz w:val="22"/>
                <w:szCs w:val="22"/>
              </w:rPr>
              <w:t>Note</w:t>
            </w:r>
            <w:r w:rsidRPr="00A124EE">
              <w:rPr>
                <w:rFonts w:asciiTheme="minorHAnsi" w:hAnsiTheme="minorHAnsi"/>
                <w:sz w:val="22"/>
                <w:szCs w:val="22"/>
              </w:rPr>
              <w:t>: Medications dispensed in the year prior to the measurement year must be counted toward the 180 treatment days.</w:t>
            </w:r>
          </w:p>
          <w:p w14:paraId="11F3F5B9" w14:textId="77777777" w:rsidR="008661AD" w:rsidRDefault="008661AD" w:rsidP="008661AD">
            <w:pPr>
              <w:pStyle w:val="note"/>
              <w:spacing w:before="0" w:beforeAutospacing="0" w:after="0" w:afterAutospacing="0"/>
              <w:rPr>
                <w:rFonts w:asciiTheme="minorHAnsi" w:hAnsiTheme="minorHAnsi"/>
                <w:sz w:val="22"/>
                <w:szCs w:val="22"/>
              </w:rPr>
            </w:pPr>
          </w:p>
          <w:p w14:paraId="74879F37" w14:textId="54ABE2F2" w:rsidR="008661AD" w:rsidRPr="00A124EE" w:rsidRDefault="008661AD" w:rsidP="008661AD">
            <w:pPr>
              <w:pStyle w:val="note"/>
              <w:spacing w:before="0" w:beforeAutospacing="0" w:after="0" w:afterAutospacing="0"/>
              <w:rPr>
                <w:rFonts w:asciiTheme="minorHAnsi" w:hAnsiTheme="minorHAnsi"/>
                <w:sz w:val="22"/>
                <w:szCs w:val="22"/>
              </w:rPr>
            </w:pPr>
            <w:r w:rsidRPr="00A124EE">
              <w:rPr>
                <w:rFonts w:asciiTheme="minorHAnsi" w:hAnsiTheme="minorHAnsi"/>
                <w:sz w:val="22"/>
                <w:szCs w:val="22"/>
              </w:rPr>
              <w:t>*</w:t>
            </w:r>
            <w:r>
              <w:rPr>
                <w:rFonts w:asciiTheme="minorHAnsi" w:hAnsiTheme="minorHAnsi"/>
                <w:sz w:val="22"/>
                <w:szCs w:val="22"/>
              </w:rPr>
              <w:t>Patients</w:t>
            </w:r>
            <w:r w:rsidRPr="00A124EE">
              <w:rPr>
                <w:rFonts w:asciiTheme="minorHAnsi" w:hAnsiTheme="minorHAnsi"/>
                <w:sz w:val="22"/>
                <w:szCs w:val="22"/>
              </w:rPr>
              <w:t xml:space="preserve"> must have </w:t>
            </w:r>
            <w:r>
              <w:rPr>
                <w:rFonts w:asciiTheme="minorHAnsi" w:hAnsiTheme="minorHAnsi"/>
                <w:sz w:val="22"/>
                <w:szCs w:val="22"/>
              </w:rPr>
              <w:t xml:space="preserve">had at least one encounter </w:t>
            </w:r>
            <w:r w:rsidRPr="00A124EE">
              <w:rPr>
                <w:rFonts w:asciiTheme="minorHAnsi" w:hAnsiTheme="minorHAnsi"/>
                <w:sz w:val="22"/>
                <w:szCs w:val="22"/>
              </w:rPr>
              <w:t xml:space="preserve">during the measurement year. </w:t>
            </w:r>
          </w:p>
          <w:p w14:paraId="0671B2C4" w14:textId="77777777" w:rsidR="008661AD" w:rsidRDefault="008661AD" w:rsidP="008661AD">
            <w:pPr>
              <w:pStyle w:val="note"/>
              <w:spacing w:before="0" w:beforeAutospacing="0" w:after="0" w:afterAutospacing="0"/>
              <w:rPr>
                <w:rFonts w:asciiTheme="minorHAnsi" w:hAnsiTheme="minorHAnsi"/>
                <w:sz w:val="22"/>
                <w:szCs w:val="22"/>
              </w:rPr>
            </w:pPr>
          </w:p>
          <w:p w14:paraId="4EF7B216" w14:textId="46F243B4" w:rsidR="008661AD" w:rsidRDefault="008661AD" w:rsidP="008661AD">
            <w:pPr>
              <w:pStyle w:val="note"/>
              <w:spacing w:before="0" w:beforeAutospacing="0" w:after="0" w:afterAutospacing="0"/>
              <w:rPr>
                <w:rFonts w:asciiTheme="minorHAnsi" w:hAnsiTheme="minorHAnsi"/>
                <w:sz w:val="22"/>
                <w:szCs w:val="22"/>
              </w:rPr>
            </w:pPr>
            <w:r w:rsidRPr="00B0558E">
              <w:rPr>
                <w:rFonts w:asciiTheme="minorHAnsi" w:hAnsiTheme="minorHAnsi"/>
                <w:sz w:val="22"/>
                <w:szCs w:val="22"/>
              </w:rPr>
              <w:t xml:space="preserve">**Refer to Table MPM-D in the original measure documentation to identify anticonvulsants. </w:t>
            </w:r>
            <w:r>
              <w:rPr>
                <w:rFonts w:asciiTheme="minorHAnsi" w:hAnsiTheme="minorHAnsi"/>
                <w:sz w:val="22"/>
                <w:szCs w:val="22"/>
              </w:rPr>
              <w:t>Patients</w:t>
            </w:r>
            <w:r w:rsidRPr="00B0558E">
              <w:rPr>
                <w:rFonts w:asciiTheme="minorHAnsi" w:hAnsiTheme="minorHAnsi"/>
                <w:sz w:val="22"/>
                <w:szCs w:val="22"/>
              </w:rPr>
              <w:t xml:space="preserve"> who are on multiple anticonvulsant drugs count toward the denominator multiple times if they meet the persistent medications criteria for each drug taken during the measurement year (i.e., a </w:t>
            </w:r>
            <w:r>
              <w:rPr>
                <w:rFonts w:asciiTheme="minorHAnsi" w:hAnsiTheme="minorHAnsi"/>
                <w:sz w:val="22"/>
                <w:szCs w:val="22"/>
              </w:rPr>
              <w:t>patient</w:t>
            </w:r>
            <w:r w:rsidRPr="00B0558E">
              <w:rPr>
                <w:rFonts w:asciiTheme="minorHAnsi" w:hAnsiTheme="minorHAnsi"/>
                <w:sz w:val="22"/>
                <w:szCs w:val="22"/>
              </w:rPr>
              <w:t xml:space="preserve"> who received at least 180 days of phenytoin and 180 days of </w:t>
            </w:r>
            <w:proofErr w:type="spellStart"/>
            <w:r w:rsidRPr="00B0558E">
              <w:rPr>
                <w:rFonts w:asciiTheme="minorHAnsi" w:hAnsiTheme="minorHAnsi"/>
                <w:sz w:val="22"/>
                <w:szCs w:val="22"/>
              </w:rPr>
              <w:t>valproic</w:t>
            </w:r>
            <w:proofErr w:type="spellEnd"/>
            <w:r w:rsidRPr="00B0558E">
              <w:rPr>
                <w:rFonts w:asciiTheme="minorHAnsi" w:hAnsiTheme="minorHAnsi"/>
                <w:sz w:val="22"/>
                <w:szCs w:val="22"/>
              </w:rPr>
              <w:t xml:space="preserve"> acid is counted twice in the denominator, once for each drug).</w:t>
            </w:r>
          </w:p>
          <w:p w14:paraId="0F77CFD6" w14:textId="77777777" w:rsidR="008661AD" w:rsidRPr="00A124EE" w:rsidRDefault="008661AD" w:rsidP="008661AD">
            <w:pPr>
              <w:pStyle w:val="note"/>
              <w:spacing w:before="0" w:beforeAutospacing="0" w:after="0" w:afterAutospacing="0"/>
              <w:rPr>
                <w:rFonts w:asciiTheme="minorHAnsi" w:hAnsiTheme="minorHAnsi"/>
                <w:sz w:val="22"/>
                <w:szCs w:val="22"/>
              </w:rPr>
            </w:pPr>
          </w:p>
          <w:p w14:paraId="026CF00E" w14:textId="38879B69" w:rsidR="008661AD" w:rsidRDefault="008661AD" w:rsidP="008661AD">
            <w:pPr>
              <w:pStyle w:val="note"/>
              <w:spacing w:before="0" w:beforeAutospacing="0" w:after="0" w:afterAutospacing="0"/>
            </w:pPr>
            <w:r w:rsidRPr="00A124EE">
              <w:rPr>
                <w:rFonts w:asciiTheme="minorHAnsi" w:hAnsiTheme="minorHAnsi"/>
                <w:sz w:val="22"/>
                <w:szCs w:val="22"/>
              </w:rPr>
              <w:t>**</w:t>
            </w:r>
            <w:r>
              <w:rPr>
                <w:rFonts w:asciiTheme="minorHAnsi" w:hAnsiTheme="minorHAnsi"/>
                <w:sz w:val="22"/>
                <w:szCs w:val="22"/>
              </w:rPr>
              <w:t>*</w:t>
            </w:r>
            <w:r w:rsidRPr="00A124EE">
              <w:rPr>
                <w:rStyle w:val="Emphasis"/>
                <w:rFonts w:asciiTheme="minorHAnsi" w:hAnsiTheme="minorHAnsi"/>
                <w:sz w:val="22"/>
                <w:szCs w:val="22"/>
              </w:rPr>
              <w:t>Treatment Days</w:t>
            </w:r>
            <w:r w:rsidRPr="00A124EE">
              <w:rPr>
                <w:rFonts w:asciiTheme="minorHAnsi" w:hAnsiTheme="minorHAnsi"/>
                <w:sz w:val="22"/>
                <w:szCs w:val="22"/>
              </w:rPr>
              <w:t xml:space="preserve"> are the actual number of calendar days covered with prescriptions within the measurement year (i.e., a prescription of 90 </w:t>
            </w:r>
            <w:proofErr w:type="spellStart"/>
            <w:r w:rsidRPr="00A124EE">
              <w:rPr>
                <w:rFonts w:asciiTheme="minorHAnsi" w:hAnsiTheme="minorHAnsi"/>
                <w:sz w:val="22"/>
                <w:szCs w:val="22"/>
              </w:rPr>
              <w:t>days</w:t>
            </w:r>
            <w:proofErr w:type="spellEnd"/>
            <w:r w:rsidRPr="00A124EE">
              <w:rPr>
                <w:rFonts w:asciiTheme="minorHAnsi" w:hAnsiTheme="minorHAnsi"/>
                <w:sz w:val="22"/>
                <w:szCs w:val="22"/>
              </w:rPr>
              <w:t xml:space="preserve"> supply dispensed on </w:t>
            </w:r>
            <w:r>
              <w:rPr>
                <w:rFonts w:asciiTheme="minorHAnsi" w:hAnsiTheme="minorHAnsi"/>
                <w:sz w:val="22"/>
                <w:szCs w:val="22"/>
              </w:rPr>
              <w:t>the first day of month 12</w:t>
            </w:r>
            <w:r w:rsidRPr="00A124EE">
              <w:rPr>
                <w:rFonts w:asciiTheme="minorHAnsi" w:hAnsiTheme="minorHAnsi"/>
                <w:sz w:val="22"/>
                <w:szCs w:val="22"/>
              </w:rPr>
              <w:t xml:space="preserve"> of the measurement year counts as 30 </w:t>
            </w:r>
            <w:r w:rsidRPr="00A124EE">
              <w:rPr>
                <w:rFonts w:asciiTheme="minorHAnsi" w:hAnsiTheme="minorHAnsi"/>
                <w:sz w:val="22"/>
                <w:szCs w:val="22"/>
              </w:rPr>
              <w:lastRenderedPageBreak/>
              <w:t xml:space="preserve">treatment days). Sum the </w:t>
            </w:r>
            <w:proofErr w:type="spellStart"/>
            <w:r w:rsidRPr="00A124EE">
              <w:rPr>
                <w:rFonts w:asciiTheme="minorHAnsi" w:hAnsiTheme="minorHAnsi"/>
                <w:sz w:val="22"/>
                <w:szCs w:val="22"/>
              </w:rPr>
              <w:t>days</w:t>
            </w:r>
            <w:proofErr w:type="spellEnd"/>
            <w:r w:rsidRPr="00A124EE">
              <w:rPr>
                <w:rFonts w:asciiTheme="minorHAnsi" w:hAnsiTheme="minorHAnsi"/>
                <w:sz w:val="22"/>
                <w:szCs w:val="22"/>
              </w:rPr>
              <w:t xml:space="preserve"> supply for a</w:t>
            </w:r>
            <w:r>
              <w:rPr>
                <w:rFonts w:asciiTheme="minorHAnsi" w:hAnsiTheme="minorHAnsi"/>
                <w:sz w:val="22"/>
                <w:szCs w:val="22"/>
              </w:rPr>
              <w:t xml:space="preserve">ll medications and subtract any </w:t>
            </w:r>
            <w:proofErr w:type="gramStart"/>
            <w:r w:rsidRPr="00A124EE">
              <w:rPr>
                <w:rFonts w:asciiTheme="minorHAnsi" w:hAnsiTheme="minorHAnsi"/>
                <w:sz w:val="22"/>
                <w:szCs w:val="22"/>
              </w:rPr>
              <w:t>days</w:t>
            </w:r>
            <w:proofErr w:type="gramEnd"/>
            <w:r w:rsidRPr="00A124EE">
              <w:rPr>
                <w:rFonts w:asciiTheme="minorHAnsi" w:hAnsiTheme="minorHAnsi"/>
                <w:sz w:val="22"/>
                <w:szCs w:val="22"/>
              </w:rPr>
              <w:t xml:space="preserve"> supply that extends beyond </w:t>
            </w:r>
            <w:r>
              <w:rPr>
                <w:rFonts w:asciiTheme="minorHAnsi" w:hAnsiTheme="minorHAnsi"/>
                <w:sz w:val="22"/>
                <w:szCs w:val="22"/>
              </w:rPr>
              <w:t>the last day</w:t>
            </w:r>
            <w:r w:rsidRPr="00A124EE">
              <w:rPr>
                <w:rFonts w:asciiTheme="minorHAnsi" w:hAnsiTheme="minorHAnsi"/>
                <w:sz w:val="22"/>
                <w:szCs w:val="22"/>
              </w:rPr>
              <w:t xml:space="preserve"> of the measurement year.</w:t>
            </w:r>
          </w:p>
          <w:p w14:paraId="2CA27F7B" w14:textId="77777777" w:rsidR="008661AD" w:rsidRDefault="008661AD" w:rsidP="006F5FB8">
            <w:pPr>
              <w:pStyle w:val="NoSpacing"/>
            </w:pPr>
          </w:p>
          <w:p w14:paraId="780D73D2" w14:textId="70213B60" w:rsidR="00AD706B" w:rsidRPr="009F7E66" w:rsidRDefault="00AD706B" w:rsidP="006F5FB8">
            <w:pPr>
              <w:pStyle w:val="NoSpacing"/>
            </w:pPr>
          </w:p>
        </w:tc>
      </w:tr>
      <w:tr w:rsidR="00787D45" w14:paraId="780D73D6" w14:textId="77777777" w:rsidTr="00984410">
        <w:trPr>
          <w:trHeight w:val="728"/>
        </w:trPr>
        <w:tc>
          <w:tcPr>
            <w:tcW w:w="1728" w:type="dxa"/>
          </w:tcPr>
          <w:p w14:paraId="780D73D4" w14:textId="6A83FC4D" w:rsidR="00787D45" w:rsidRPr="00717546" w:rsidRDefault="00787D45" w:rsidP="00C01E6F">
            <w:pPr>
              <w:pStyle w:val="NoSpacing"/>
              <w:rPr>
                <w:b/>
              </w:rPr>
            </w:pPr>
            <w:r>
              <w:rPr>
                <w:b/>
              </w:rPr>
              <w:lastRenderedPageBreak/>
              <w:t>Denominator Inclusions</w:t>
            </w:r>
          </w:p>
        </w:tc>
        <w:tc>
          <w:tcPr>
            <w:tcW w:w="7848" w:type="dxa"/>
            <w:gridSpan w:val="3"/>
          </w:tcPr>
          <w:p w14:paraId="14297176" w14:textId="77777777" w:rsidR="00A124EE" w:rsidRDefault="00A124EE" w:rsidP="00A124EE">
            <w:pPr>
              <w:pStyle w:val="note"/>
              <w:spacing w:before="0" w:beforeAutospacing="0" w:after="0" w:afterAutospacing="0"/>
              <w:rPr>
                <w:rFonts w:asciiTheme="minorHAnsi" w:hAnsiTheme="minorHAnsi"/>
                <w:sz w:val="22"/>
                <w:szCs w:val="22"/>
              </w:rPr>
            </w:pPr>
          </w:p>
          <w:p w14:paraId="780D73D5" w14:textId="6BC2495A" w:rsidR="00787D45" w:rsidRPr="008661AD" w:rsidRDefault="008661AD" w:rsidP="008661AD">
            <w:pPr>
              <w:pStyle w:val="note"/>
              <w:spacing w:before="0" w:beforeAutospacing="0" w:after="0" w:afterAutospacing="0"/>
              <w:rPr>
                <w:rFonts w:asciiTheme="minorHAnsi" w:hAnsiTheme="minorHAnsi"/>
                <w:sz w:val="22"/>
                <w:szCs w:val="22"/>
              </w:rPr>
            </w:pPr>
            <w:r>
              <w:rPr>
                <w:rFonts w:asciiTheme="minorHAnsi" w:hAnsiTheme="minorHAnsi"/>
                <w:sz w:val="22"/>
                <w:szCs w:val="22"/>
              </w:rPr>
              <w:t xml:space="preserve">The Measure Steward does not identify specific denominator inclusions beyond what is described in the denominator description. </w:t>
            </w:r>
          </w:p>
        </w:tc>
      </w:tr>
      <w:tr w:rsidR="00787D45" w14:paraId="780D73D9" w14:textId="77777777" w:rsidTr="00984410">
        <w:trPr>
          <w:trHeight w:val="710"/>
        </w:trPr>
        <w:tc>
          <w:tcPr>
            <w:tcW w:w="1728" w:type="dxa"/>
          </w:tcPr>
          <w:p w14:paraId="780D73D7" w14:textId="77777777" w:rsidR="00787D45" w:rsidRPr="00717546" w:rsidRDefault="00787D45" w:rsidP="00C01E6F">
            <w:pPr>
              <w:pStyle w:val="NoSpacing"/>
              <w:rPr>
                <w:b/>
              </w:rPr>
            </w:pPr>
            <w:r>
              <w:rPr>
                <w:b/>
              </w:rPr>
              <w:t>Denominator Exclusions</w:t>
            </w:r>
          </w:p>
        </w:tc>
        <w:tc>
          <w:tcPr>
            <w:tcW w:w="7848" w:type="dxa"/>
            <w:gridSpan w:val="3"/>
          </w:tcPr>
          <w:p w14:paraId="780D73D8" w14:textId="240A0625" w:rsidR="00787D45" w:rsidRPr="001D6BEA" w:rsidRDefault="00A124EE" w:rsidP="00920853">
            <w:pPr>
              <w:pStyle w:val="NoSpacing"/>
            </w:pPr>
            <w:r>
              <w:t xml:space="preserve">Exclude members who had an inpatient (acute or </w:t>
            </w:r>
            <w:proofErr w:type="spellStart"/>
            <w:r>
              <w:t>nonacute</w:t>
            </w:r>
            <w:proofErr w:type="spellEnd"/>
            <w:r>
              <w:t>) encounter during the measurement year. (</w:t>
            </w:r>
            <w:r>
              <w:rPr>
                <w:rStyle w:val="Emphasis"/>
              </w:rPr>
              <w:t>Optional</w:t>
            </w:r>
            <w:r>
              <w:t>)</w:t>
            </w:r>
          </w:p>
        </w:tc>
      </w:tr>
      <w:tr w:rsidR="00D63CD3" w14:paraId="780D73DF" w14:textId="77777777" w:rsidTr="00984410">
        <w:tc>
          <w:tcPr>
            <w:tcW w:w="1728" w:type="dxa"/>
          </w:tcPr>
          <w:p w14:paraId="780D73DA" w14:textId="77777777" w:rsidR="00D63CD3" w:rsidRDefault="00D63CD3" w:rsidP="00AF103E">
            <w:pPr>
              <w:pStyle w:val="NoSpacing"/>
              <w:rPr>
                <w:b/>
              </w:rPr>
            </w:pPr>
            <w:r>
              <w:rPr>
                <w:b/>
              </w:rPr>
              <w:t>Denominator Size</w:t>
            </w:r>
          </w:p>
        </w:tc>
        <w:tc>
          <w:tcPr>
            <w:tcW w:w="7848" w:type="dxa"/>
            <w:gridSpan w:val="3"/>
          </w:tcPr>
          <w:p w14:paraId="780D73DB"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780D73DC"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780D73DD"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780D73DE" w14:textId="77777777" w:rsidR="0032246B" w:rsidRPr="001D6BEA" w:rsidRDefault="0032246B" w:rsidP="00561D6D">
            <w:pPr>
              <w:pStyle w:val="NoSpacing"/>
              <w:numPr>
                <w:ilvl w:val="0"/>
                <w:numId w:val="8"/>
              </w:numPr>
            </w:pPr>
            <w:r>
              <w:t xml:space="preserve">For a measurement period </w:t>
            </w:r>
            <w:r w:rsidR="0011709A">
              <w:t>(either 6 or 12-months) where the denominator size</w:t>
            </w:r>
            <w:r>
              <w:t xml:space="preserve"> is greater than </w:t>
            </w:r>
            <w:r w:rsidR="00561D6D">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8661AD" w14:paraId="780D73E2" w14:textId="77777777" w:rsidTr="00984410">
        <w:tc>
          <w:tcPr>
            <w:tcW w:w="1728" w:type="dxa"/>
          </w:tcPr>
          <w:p w14:paraId="780D73E0" w14:textId="77777777" w:rsidR="008661AD" w:rsidRPr="00717546" w:rsidRDefault="008661AD" w:rsidP="00AF103E">
            <w:pPr>
              <w:pStyle w:val="NoSpacing"/>
              <w:rPr>
                <w:b/>
              </w:rPr>
            </w:pPr>
            <w:r>
              <w:rPr>
                <w:b/>
              </w:rPr>
              <w:t xml:space="preserve">Numerator Description </w:t>
            </w:r>
          </w:p>
        </w:tc>
        <w:tc>
          <w:tcPr>
            <w:tcW w:w="7848" w:type="dxa"/>
            <w:gridSpan w:val="3"/>
          </w:tcPr>
          <w:p w14:paraId="3F9127B8" w14:textId="17EB1A8C" w:rsidR="008661AD" w:rsidRDefault="008661AD" w:rsidP="0080458A">
            <w:pPr>
              <w:pStyle w:val="NoSpacing"/>
            </w:pPr>
            <w:r>
              <w:t>Patients from the denominator with at least one drug serum concentration level monitoring test for the prescribed drug in the measurement year (refer the original measure documentation for codes to identify drug serum concentration monitoring tests)</w:t>
            </w:r>
          </w:p>
          <w:p w14:paraId="3EAD959F" w14:textId="77777777" w:rsidR="008661AD" w:rsidRDefault="008661AD" w:rsidP="0080458A">
            <w:pPr>
              <w:pStyle w:val="NoSpacing"/>
            </w:pPr>
          </w:p>
          <w:p w14:paraId="2451D9D8" w14:textId="77777777" w:rsidR="008661AD" w:rsidRDefault="008661AD" w:rsidP="0080458A">
            <w:pPr>
              <w:pStyle w:val="NoSpacing"/>
            </w:pPr>
            <w:r>
              <w:t>If a member received only one type of anticonvulsant, the drug serum concentration level test must be for the specific drug taken as a persistent medication (i.e., a member on phenytoin received a drug serum test for phenytoin).</w:t>
            </w:r>
          </w:p>
          <w:p w14:paraId="731EE837" w14:textId="77777777" w:rsidR="008661AD" w:rsidRDefault="008661AD" w:rsidP="0080458A">
            <w:pPr>
              <w:pStyle w:val="NoSpacing"/>
            </w:pPr>
          </w:p>
          <w:p w14:paraId="780D73E1" w14:textId="03BF8164" w:rsidR="008661AD" w:rsidRPr="009F7E66" w:rsidRDefault="008661AD" w:rsidP="00AF103E">
            <w:pPr>
              <w:pStyle w:val="NoSpacing"/>
            </w:pPr>
            <w:r>
              <w:t xml:space="preserve">If a member persistently received multiple types of anticonvulsants, each anticonvulsant medication and drug monitoring test combination is counted as a unique event (i.e., a member on both phenytoin and </w:t>
            </w:r>
            <w:proofErr w:type="spellStart"/>
            <w:r>
              <w:t>valproic</w:t>
            </w:r>
            <w:proofErr w:type="spellEnd"/>
            <w:r>
              <w:t xml:space="preserve"> acid with at least 180 treatment days for each drug in the measurement year must separately show evidence of receiving drug serum concentration tests for each drug [Table MPM-E] to be considered numerator-compliant for each drug).</w:t>
            </w:r>
          </w:p>
        </w:tc>
      </w:tr>
      <w:tr w:rsidR="008661AD" w14:paraId="780D73E5" w14:textId="77777777" w:rsidTr="00984410">
        <w:tc>
          <w:tcPr>
            <w:tcW w:w="1728" w:type="dxa"/>
          </w:tcPr>
          <w:p w14:paraId="780D73E3" w14:textId="77777777" w:rsidR="008661AD" w:rsidRPr="00717546" w:rsidRDefault="008661AD" w:rsidP="00AF103E">
            <w:pPr>
              <w:pStyle w:val="NoSpacing"/>
              <w:rPr>
                <w:b/>
              </w:rPr>
            </w:pPr>
            <w:r>
              <w:rPr>
                <w:b/>
              </w:rPr>
              <w:t>Numerator Inclusions</w:t>
            </w:r>
          </w:p>
        </w:tc>
        <w:tc>
          <w:tcPr>
            <w:tcW w:w="7848" w:type="dxa"/>
            <w:gridSpan w:val="3"/>
          </w:tcPr>
          <w:p w14:paraId="780D73E4" w14:textId="0EFC8FF4" w:rsidR="008661AD" w:rsidRPr="008661AD" w:rsidRDefault="008661AD" w:rsidP="008661AD">
            <w:pPr>
              <w:pStyle w:val="NoSpacing"/>
            </w:pPr>
            <w:r w:rsidRPr="008661AD">
              <w:t xml:space="preserve">The Measure Steward does not identify specific numerator </w:t>
            </w:r>
            <w:r>
              <w:t>inclusions</w:t>
            </w:r>
            <w:r w:rsidRPr="008661AD">
              <w:t xml:space="preserve"> beyond what is described in the numerator description.</w:t>
            </w:r>
          </w:p>
        </w:tc>
      </w:tr>
      <w:tr w:rsidR="008661AD" w14:paraId="780D73E8" w14:textId="77777777" w:rsidTr="00984410">
        <w:tc>
          <w:tcPr>
            <w:tcW w:w="1728" w:type="dxa"/>
          </w:tcPr>
          <w:p w14:paraId="780D73E6" w14:textId="77777777" w:rsidR="008661AD" w:rsidRPr="00717546" w:rsidRDefault="008661AD" w:rsidP="00AF103E">
            <w:pPr>
              <w:pStyle w:val="NoSpacing"/>
              <w:rPr>
                <w:b/>
              </w:rPr>
            </w:pPr>
            <w:r>
              <w:rPr>
                <w:b/>
              </w:rPr>
              <w:t>Numerator Exclusions</w:t>
            </w:r>
          </w:p>
        </w:tc>
        <w:tc>
          <w:tcPr>
            <w:tcW w:w="7848" w:type="dxa"/>
            <w:gridSpan w:val="3"/>
          </w:tcPr>
          <w:p w14:paraId="780D73E7" w14:textId="5DC3059F" w:rsidR="008661AD" w:rsidRPr="001D6BEA" w:rsidRDefault="008661AD" w:rsidP="0070574E">
            <w:pPr>
              <w:pStyle w:val="NoSpacing"/>
            </w:pPr>
            <w:r>
              <w:t>The Measure Steward does not identify specific numerator exclusions beyond what is described in the numerator description.</w:t>
            </w:r>
          </w:p>
        </w:tc>
      </w:tr>
      <w:tr w:rsidR="008661AD" w14:paraId="780D73EB" w14:textId="77777777" w:rsidTr="00984410">
        <w:tc>
          <w:tcPr>
            <w:tcW w:w="1728" w:type="dxa"/>
          </w:tcPr>
          <w:p w14:paraId="780D73E9" w14:textId="77777777" w:rsidR="008661AD" w:rsidRPr="00717546" w:rsidRDefault="008661AD" w:rsidP="00A374B8">
            <w:pPr>
              <w:pStyle w:val="NoSpacing"/>
              <w:rPr>
                <w:b/>
              </w:rPr>
            </w:pPr>
            <w:r>
              <w:rPr>
                <w:b/>
              </w:rPr>
              <w:t>Setting</w:t>
            </w:r>
          </w:p>
        </w:tc>
        <w:tc>
          <w:tcPr>
            <w:tcW w:w="7848" w:type="dxa"/>
            <w:gridSpan w:val="3"/>
          </w:tcPr>
          <w:p w14:paraId="780D73EA" w14:textId="25283D12" w:rsidR="008661AD" w:rsidRDefault="008661AD" w:rsidP="00CD7069">
            <w:pPr>
              <w:pStyle w:val="NoSpacing"/>
            </w:pPr>
            <w:r>
              <w:t>Ambulatory</w:t>
            </w:r>
          </w:p>
        </w:tc>
      </w:tr>
      <w:tr w:rsidR="008661AD" w14:paraId="780D73EE" w14:textId="77777777" w:rsidTr="00984410">
        <w:tc>
          <w:tcPr>
            <w:tcW w:w="1728" w:type="dxa"/>
          </w:tcPr>
          <w:p w14:paraId="780D73EC" w14:textId="77777777" w:rsidR="008661AD" w:rsidRDefault="008661AD" w:rsidP="00A374B8">
            <w:pPr>
              <w:pStyle w:val="NoSpacing"/>
              <w:rPr>
                <w:b/>
              </w:rPr>
            </w:pPr>
            <w:r>
              <w:rPr>
                <w:b/>
              </w:rPr>
              <w:t>Data Source</w:t>
            </w:r>
          </w:p>
        </w:tc>
        <w:tc>
          <w:tcPr>
            <w:tcW w:w="7848" w:type="dxa"/>
            <w:gridSpan w:val="3"/>
          </w:tcPr>
          <w:p w14:paraId="780D73ED" w14:textId="43FD919D" w:rsidR="008661AD" w:rsidRDefault="008661AD" w:rsidP="00D56096">
            <w:pPr>
              <w:pStyle w:val="NoSpacing"/>
            </w:pPr>
            <w:r>
              <w:t>Administrative clinical data</w:t>
            </w:r>
            <w:r w:rsidR="00D56096">
              <w:t xml:space="preserve">; </w:t>
            </w:r>
            <w:r>
              <w:t>Laboratory data</w:t>
            </w:r>
            <w:r w:rsidR="00D56096">
              <w:t xml:space="preserve">; </w:t>
            </w:r>
            <w:r>
              <w:t>Pharmacy data</w:t>
            </w:r>
          </w:p>
        </w:tc>
      </w:tr>
      <w:tr w:rsidR="008661AD" w14:paraId="780D740D" w14:textId="77777777" w:rsidTr="00984410">
        <w:tc>
          <w:tcPr>
            <w:tcW w:w="1728" w:type="dxa"/>
          </w:tcPr>
          <w:p w14:paraId="780D73EF" w14:textId="77777777" w:rsidR="008661AD" w:rsidRPr="00717546" w:rsidRDefault="008661AD" w:rsidP="00F05C01">
            <w:pPr>
              <w:pStyle w:val="NoSpacing"/>
              <w:rPr>
                <w:b/>
              </w:rPr>
            </w:pPr>
            <w:r>
              <w:rPr>
                <w:b/>
              </w:rPr>
              <w:t xml:space="preserve">Denominator Sub-set </w:t>
            </w:r>
            <w:r>
              <w:rPr>
                <w:b/>
              </w:rPr>
              <w:lastRenderedPageBreak/>
              <w:t xml:space="preserve">Definition (Optional) </w:t>
            </w:r>
          </w:p>
        </w:tc>
        <w:tc>
          <w:tcPr>
            <w:tcW w:w="7848" w:type="dxa"/>
            <w:gridSpan w:val="3"/>
          </w:tcPr>
          <w:p w14:paraId="780D73F0" w14:textId="77777777" w:rsidR="008661AD" w:rsidRDefault="008661AD" w:rsidP="00561D6D">
            <w:pPr>
              <w:pStyle w:val="NoSpacing"/>
            </w:pPr>
            <w:r>
              <w:lastRenderedPageBreak/>
              <w:t xml:space="preserve">Providers have the option to further narrow the denominator population for this measure across one or more of the following domains.  If providers wish to use this </w:t>
            </w:r>
            <w:r>
              <w:lastRenderedPageBreak/>
              <w:t xml:space="preserve">option, they must indicate their preference to HHSC through the measure selection process. </w:t>
            </w:r>
          </w:p>
          <w:p w14:paraId="780D73F1" w14:textId="77777777" w:rsidR="008661AD" w:rsidRDefault="008661AD" w:rsidP="00A374B8">
            <w:pPr>
              <w:pStyle w:val="NoSpacing"/>
            </w:pPr>
          </w:p>
          <w:p w14:paraId="780D73F2" w14:textId="77777777" w:rsidR="008661AD" w:rsidRDefault="008661AD" w:rsidP="00A374B8">
            <w:pPr>
              <w:pStyle w:val="NoSpacing"/>
            </w:pPr>
            <w:r w:rsidRPr="00416E44">
              <w:rPr>
                <w:b/>
              </w:rPr>
              <w:t>Payer:</w:t>
            </w:r>
            <w:r>
              <w:t xml:space="preserve"> Providers may define the denominator population such that it is limited to one of the following options: </w:t>
            </w:r>
          </w:p>
          <w:p w14:paraId="780D73F3" w14:textId="77777777" w:rsidR="008661AD" w:rsidRDefault="008661AD" w:rsidP="007F7C07">
            <w:pPr>
              <w:pStyle w:val="NoSpacing"/>
              <w:numPr>
                <w:ilvl w:val="0"/>
                <w:numId w:val="5"/>
              </w:numPr>
            </w:pPr>
            <w:r>
              <w:t>Medicaid</w:t>
            </w:r>
          </w:p>
          <w:p w14:paraId="780D73F4" w14:textId="77777777" w:rsidR="008661AD" w:rsidRDefault="008661AD" w:rsidP="007F7C07">
            <w:pPr>
              <w:pStyle w:val="NoSpacing"/>
              <w:numPr>
                <w:ilvl w:val="0"/>
                <w:numId w:val="5"/>
              </w:numPr>
            </w:pPr>
            <w:r>
              <w:t>Uninsured/Indigent</w:t>
            </w:r>
          </w:p>
          <w:p w14:paraId="780D73F5" w14:textId="77777777" w:rsidR="008661AD" w:rsidRDefault="008661AD" w:rsidP="007F7C07">
            <w:pPr>
              <w:pStyle w:val="NoSpacing"/>
              <w:numPr>
                <w:ilvl w:val="0"/>
                <w:numId w:val="5"/>
              </w:numPr>
            </w:pPr>
            <w:r>
              <w:t>Both: Medicaid and Uninsured/Indigent</w:t>
            </w:r>
          </w:p>
          <w:p w14:paraId="780D73F6" w14:textId="77777777" w:rsidR="008661AD" w:rsidRDefault="008661AD" w:rsidP="00A374B8">
            <w:pPr>
              <w:pStyle w:val="NoSpacing"/>
            </w:pPr>
          </w:p>
          <w:p w14:paraId="780D73F7" w14:textId="77777777" w:rsidR="008661AD" w:rsidRDefault="008661AD" w:rsidP="00CA4C08">
            <w:pPr>
              <w:pStyle w:val="NoSpacing"/>
            </w:pPr>
            <w:r w:rsidRPr="007F7C07">
              <w:rPr>
                <w:b/>
              </w:rPr>
              <w:t>Gender:</w:t>
            </w:r>
            <w:r>
              <w:t xml:space="preserve"> Providers may define the denominator population such that it is limited to one of the following options:</w:t>
            </w:r>
          </w:p>
          <w:p w14:paraId="780D73F8" w14:textId="77777777" w:rsidR="008661AD" w:rsidRDefault="008661AD" w:rsidP="007F7C07">
            <w:pPr>
              <w:pStyle w:val="NoSpacing"/>
              <w:numPr>
                <w:ilvl w:val="0"/>
                <w:numId w:val="6"/>
              </w:numPr>
            </w:pPr>
            <w:r>
              <w:t>Male</w:t>
            </w:r>
          </w:p>
          <w:p w14:paraId="780D73F9" w14:textId="77777777" w:rsidR="008661AD" w:rsidRDefault="008661AD" w:rsidP="007F7C07">
            <w:pPr>
              <w:pStyle w:val="NoSpacing"/>
              <w:numPr>
                <w:ilvl w:val="0"/>
                <w:numId w:val="6"/>
              </w:numPr>
            </w:pPr>
            <w:r>
              <w:t>Female</w:t>
            </w:r>
          </w:p>
          <w:p w14:paraId="780D73FA" w14:textId="77777777" w:rsidR="008661AD" w:rsidRDefault="008661AD" w:rsidP="00CA4C08">
            <w:pPr>
              <w:pStyle w:val="NoSpacing"/>
            </w:pPr>
          </w:p>
          <w:p w14:paraId="780D73FB" w14:textId="77777777" w:rsidR="008661AD" w:rsidRDefault="008661AD" w:rsidP="00CA4C08">
            <w:pPr>
              <w:pStyle w:val="NoSpacing"/>
            </w:pPr>
            <w:r w:rsidRPr="007F7C07">
              <w:rPr>
                <w:b/>
              </w:rPr>
              <w:t>Ethnicity:</w:t>
            </w:r>
            <w:r>
              <w:t xml:space="preserve"> Providers may define the denominator population such that it is limited to one of the following options:</w:t>
            </w:r>
          </w:p>
          <w:p w14:paraId="780D73FC" w14:textId="77777777" w:rsidR="008661AD" w:rsidRDefault="008661AD" w:rsidP="007F7C07">
            <w:pPr>
              <w:pStyle w:val="NoSpacing"/>
              <w:numPr>
                <w:ilvl w:val="0"/>
                <w:numId w:val="7"/>
              </w:numPr>
            </w:pPr>
            <w:r>
              <w:t>White/Caucasian</w:t>
            </w:r>
          </w:p>
          <w:p w14:paraId="780D73FD" w14:textId="77777777" w:rsidR="008661AD" w:rsidRDefault="008661AD" w:rsidP="007F7C07">
            <w:pPr>
              <w:pStyle w:val="NoSpacing"/>
              <w:numPr>
                <w:ilvl w:val="0"/>
                <w:numId w:val="7"/>
              </w:numPr>
            </w:pPr>
            <w:r>
              <w:t>Black/African American</w:t>
            </w:r>
          </w:p>
          <w:p w14:paraId="780D73FE" w14:textId="77777777" w:rsidR="008661AD" w:rsidRDefault="008661AD" w:rsidP="007F7C07">
            <w:pPr>
              <w:pStyle w:val="NoSpacing"/>
              <w:numPr>
                <w:ilvl w:val="0"/>
                <w:numId w:val="7"/>
              </w:numPr>
            </w:pPr>
            <w:r>
              <w:t>Latino/Hispanic</w:t>
            </w:r>
          </w:p>
          <w:p w14:paraId="780D73FF" w14:textId="77777777" w:rsidR="008661AD" w:rsidRDefault="008661AD" w:rsidP="007F7C07">
            <w:pPr>
              <w:pStyle w:val="NoSpacing"/>
              <w:numPr>
                <w:ilvl w:val="0"/>
                <w:numId w:val="7"/>
              </w:numPr>
            </w:pPr>
            <w:r>
              <w:t>Asian</w:t>
            </w:r>
          </w:p>
          <w:p w14:paraId="780D7400" w14:textId="77777777" w:rsidR="008661AD" w:rsidRDefault="008661AD" w:rsidP="007F7C07">
            <w:pPr>
              <w:pStyle w:val="NoSpacing"/>
              <w:numPr>
                <w:ilvl w:val="0"/>
                <w:numId w:val="7"/>
              </w:numPr>
            </w:pPr>
            <w:r>
              <w:t>American Indian/Alaskan Native</w:t>
            </w:r>
          </w:p>
          <w:p w14:paraId="780D7401" w14:textId="77777777" w:rsidR="008661AD" w:rsidRDefault="008661AD" w:rsidP="007F7C07">
            <w:pPr>
              <w:pStyle w:val="NoSpacing"/>
              <w:numPr>
                <w:ilvl w:val="0"/>
                <w:numId w:val="7"/>
              </w:numPr>
            </w:pPr>
            <w:r>
              <w:t>Native Hawaiian/Other Pacific Islander</w:t>
            </w:r>
          </w:p>
          <w:p w14:paraId="780D7402" w14:textId="77777777" w:rsidR="008661AD" w:rsidRDefault="008661AD" w:rsidP="00CA4C08">
            <w:pPr>
              <w:pStyle w:val="NoSpacing"/>
            </w:pPr>
          </w:p>
          <w:p w14:paraId="780D7403" w14:textId="77777777" w:rsidR="008661AD" w:rsidRDefault="008661AD" w:rsidP="00CA4C08">
            <w:pPr>
              <w:pStyle w:val="NoSpacing"/>
            </w:pPr>
            <w:r w:rsidRPr="007F7C07">
              <w:rPr>
                <w:b/>
              </w:rPr>
              <w:t>Age:</w:t>
            </w:r>
            <w:r>
              <w:t xml:space="preserve"> Providers may define the denominator population such that it is limited to an age range:</w:t>
            </w:r>
          </w:p>
          <w:p w14:paraId="780D7404" w14:textId="77777777" w:rsidR="008661AD" w:rsidRDefault="008661AD" w:rsidP="007F7C07">
            <w:pPr>
              <w:pStyle w:val="NoSpacing"/>
              <w:ind w:left="720"/>
            </w:pPr>
            <w:r>
              <w:t>Lower Bound: ____ (Provider defined)</w:t>
            </w:r>
          </w:p>
          <w:p w14:paraId="780D7405" w14:textId="77777777" w:rsidR="008661AD" w:rsidRDefault="008661AD" w:rsidP="007F7C07">
            <w:pPr>
              <w:pStyle w:val="NoSpacing"/>
              <w:ind w:left="720"/>
            </w:pPr>
            <w:r>
              <w:t>Upper Bound: ____ (Provider defined)</w:t>
            </w:r>
          </w:p>
          <w:p w14:paraId="780D7406" w14:textId="77777777" w:rsidR="008661AD" w:rsidRDefault="008661AD" w:rsidP="00CA4C08">
            <w:pPr>
              <w:pStyle w:val="NoSpacing"/>
            </w:pPr>
          </w:p>
          <w:p w14:paraId="780D7407" w14:textId="7CB3119A" w:rsidR="008661AD" w:rsidRDefault="008661AD" w:rsidP="007F7C07">
            <w:pPr>
              <w:pStyle w:val="NoSpacing"/>
            </w:pPr>
            <w:r>
              <w:rPr>
                <w:b/>
              </w:rPr>
              <w:t>Comorbid Condition</w:t>
            </w:r>
            <w:r w:rsidRPr="007F7C07">
              <w:rPr>
                <w:b/>
              </w:rPr>
              <w:t>:</w:t>
            </w:r>
            <w:r>
              <w:t xml:space="preserve"> Providers may define the denominator population such that it is limited to individuals with one or more comorbid conditions:</w:t>
            </w:r>
          </w:p>
          <w:p w14:paraId="780D7408" w14:textId="77777777" w:rsidR="008661AD" w:rsidRDefault="008661AD" w:rsidP="00A82574">
            <w:pPr>
              <w:pStyle w:val="NoSpacing"/>
              <w:ind w:left="720"/>
            </w:pPr>
            <w:r>
              <w:t>Comorbid condition: ______________ (Provider defined)</w:t>
            </w:r>
          </w:p>
          <w:p w14:paraId="780D7409" w14:textId="77777777" w:rsidR="008661AD" w:rsidRDefault="008661AD" w:rsidP="00CA4C08">
            <w:pPr>
              <w:pStyle w:val="NoSpacing"/>
            </w:pPr>
          </w:p>
          <w:p w14:paraId="780D740A" w14:textId="77777777" w:rsidR="008661AD" w:rsidRDefault="008661AD" w:rsidP="00CA4C08">
            <w:pPr>
              <w:pStyle w:val="NoSpacing"/>
            </w:pPr>
            <w:r w:rsidRPr="007F7C07">
              <w:rPr>
                <w:b/>
              </w:rPr>
              <w:t>Setting/Location:</w:t>
            </w:r>
            <w:r>
              <w:t xml:space="preserve"> Providers may define the denominator population such that it is limited to individuals receiving services in a specific setting or service delivery location(s).</w:t>
            </w:r>
          </w:p>
          <w:p w14:paraId="780D740B" w14:textId="77777777" w:rsidR="008661AD" w:rsidRDefault="008661AD" w:rsidP="00A82574">
            <w:pPr>
              <w:pStyle w:val="NoSpacing"/>
              <w:ind w:left="720"/>
            </w:pPr>
            <w:r>
              <w:t xml:space="preserve">Service Setting/Delivery Location(s): ______________ (Provider defined) </w:t>
            </w:r>
          </w:p>
          <w:p w14:paraId="780D740C" w14:textId="77777777" w:rsidR="008661AD" w:rsidRDefault="008661AD" w:rsidP="007F7C07">
            <w:pPr>
              <w:pStyle w:val="NoSpacing"/>
            </w:pPr>
            <w:r>
              <w:t> </w:t>
            </w:r>
          </w:p>
        </w:tc>
      </w:tr>
      <w:tr w:rsidR="008661AD" w14:paraId="780D7415" w14:textId="77777777" w:rsidTr="00984410">
        <w:tc>
          <w:tcPr>
            <w:tcW w:w="1728" w:type="dxa"/>
          </w:tcPr>
          <w:p w14:paraId="780D740E" w14:textId="77777777" w:rsidR="008661AD" w:rsidRDefault="008661AD" w:rsidP="00A374B8">
            <w:pPr>
              <w:pStyle w:val="NoSpacing"/>
              <w:rPr>
                <w:b/>
              </w:rPr>
            </w:pPr>
            <w:r>
              <w:rPr>
                <w:b/>
              </w:rPr>
              <w:lastRenderedPageBreak/>
              <w:t>Demonstration Years</w:t>
            </w:r>
          </w:p>
        </w:tc>
        <w:tc>
          <w:tcPr>
            <w:tcW w:w="2894" w:type="dxa"/>
            <w:shd w:val="clear" w:color="auto" w:fill="D9D9D9" w:themeFill="background1" w:themeFillShade="D9"/>
          </w:tcPr>
          <w:p w14:paraId="780D740F" w14:textId="77777777" w:rsidR="008661AD" w:rsidRPr="0031250D" w:rsidRDefault="008661AD" w:rsidP="00A374B8">
            <w:pPr>
              <w:pStyle w:val="NoSpacing"/>
              <w:jc w:val="center"/>
              <w:rPr>
                <w:b/>
              </w:rPr>
            </w:pPr>
            <w:r w:rsidRPr="0031250D">
              <w:rPr>
                <w:b/>
              </w:rPr>
              <w:t>DY3</w:t>
            </w:r>
          </w:p>
          <w:p w14:paraId="780D7410" w14:textId="77777777" w:rsidR="008661AD" w:rsidRPr="0031250D" w:rsidRDefault="008661AD" w:rsidP="00A374B8">
            <w:pPr>
              <w:pStyle w:val="NoSpacing"/>
              <w:jc w:val="center"/>
              <w:rPr>
                <w:b/>
              </w:rPr>
            </w:pPr>
            <w:r w:rsidRPr="0031250D">
              <w:rPr>
                <w:b/>
              </w:rPr>
              <w:t>10/0</w:t>
            </w:r>
            <w:r>
              <w:rPr>
                <w:b/>
              </w:rPr>
              <w:t>1/13 – 09</w:t>
            </w:r>
            <w:r w:rsidRPr="0031250D">
              <w:rPr>
                <w:b/>
              </w:rPr>
              <w:t>/30/14</w:t>
            </w:r>
          </w:p>
        </w:tc>
        <w:tc>
          <w:tcPr>
            <w:tcW w:w="2502" w:type="dxa"/>
            <w:shd w:val="clear" w:color="auto" w:fill="D9D9D9" w:themeFill="background1" w:themeFillShade="D9"/>
          </w:tcPr>
          <w:p w14:paraId="780D7411" w14:textId="77777777" w:rsidR="008661AD" w:rsidRPr="0031250D" w:rsidRDefault="008661AD" w:rsidP="00A374B8">
            <w:pPr>
              <w:pStyle w:val="NoSpacing"/>
              <w:jc w:val="center"/>
              <w:rPr>
                <w:b/>
              </w:rPr>
            </w:pPr>
            <w:r w:rsidRPr="0031250D">
              <w:rPr>
                <w:b/>
              </w:rPr>
              <w:t>DY4</w:t>
            </w:r>
          </w:p>
          <w:p w14:paraId="780D7412" w14:textId="77777777" w:rsidR="008661AD" w:rsidRPr="0031250D" w:rsidRDefault="008661AD" w:rsidP="00A374B8">
            <w:pPr>
              <w:pStyle w:val="NoSpacing"/>
              <w:jc w:val="center"/>
              <w:rPr>
                <w:b/>
              </w:rPr>
            </w:pPr>
            <w:r w:rsidRPr="0031250D">
              <w:rPr>
                <w:b/>
              </w:rPr>
              <w:t>10/0</w:t>
            </w:r>
            <w:r>
              <w:rPr>
                <w:b/>
              </w:rPr>
              <w:t>1/14 – 09</w:t>
            </w:r>
            <w:r w:rsidRPr="0031250D">
              <w:rPr>
                <w:b/>
              </w:rPr>
              <w:t>/30/</w:t>
            </w:r>
            <w:r>
              <w:rPr>
                <w:b/>
              </w:rPr>
              <w:t>15</w:t>
            </w:r>
          </w:p>
        </w:tc>
        <w:tc>
          <w:tcPr>
            <w:tcW w:w="2452" w:type="dxa"/>
            <w:shd w:val="clear" w:color="auto" w:fill="D9D9D9" w:themeFill="background1" w:themeFillShade="D9"/>
          </w:tcPr>
          <w:p w14:paraId="780D7413" w14:textId="77777777" w:rsidR="008661AD" w:rsidRPr="0031250D" w:rsidRDefault="008661AD" w:rsidP="00A374B8">
            <w:pPr>
              <w:pStyle w:val="NoSpacing"/>
              <w:jc w:val="center"/>
              <w:rPr>
                <w:b/>
              </w:rPr>
            </w:pPr>
            <w:r w:rsidRPr="0031250D">
              <w:rPr>
                <w:b/>
              </w:rPr>
              <w:t>DY5</w:t>
            </w:r>
          </w:p>
          <w:p w14:paraId="780D7414" w14:textId="77777777" w:rsidR="008661AD" w:rsidRPr="0031250D" w:rsidRDefault="008661AD" w:rsidP="00A374B8">
            <w:pPr>
              <w:pStyle w:val="NoSpacing"/>
              <w:jc w:val="center"/>
              <w:rPr>
                <w:b/>
              </w:rPr>
            </w:pPr>
            <w:r w:rsidRPr="0031250D">
              <w:rPr>
                <w:b/>
              </w:rPr>
              <w:t>10/0</w:t>
            </w:r>
            <w:r>
              <w:rPr>
                <w:b/>
              </w:rPr>
              <w:t>1/15 – 09</w:t>
            </w:r>
            <w:r w:rsidRPr="0031250D">
              <w:rPr>
                <w:b/>
              </w:rPr>
              <w:t>/30/</w:t>
            </w:r>
            <w:r>
              <w:rPr>
                <w:b/>
              </w:rPr>
              <w:t>16</w:t>
            </w:r>
          </w:p>
        </w:tc>
      </w:tr>
      <w:tr w:rsidR="008661AD" w14:paraId="780D742C" w14:textId="77777777" w:rsidTr="00984410">
        <w:tc>
          <w:tcPr>
            <w:tcW w:w="1728" w:type="dxa"/>
          </w:tcPr>
          <w:p w14:paraId="780D7416" w14:textId="77777777" w:rsidR="008661AD" w:rsidRDefault="008661AD" w:rsidP="00A374B8">
            <w:pPr>
              <w:pStyle w:val="NoSpacing"/>
              <w:rPr>
                <w:b/>
              </w:rPr>
            </w:pPr>
            <w:r>
              <w:rPr>
                <w:b/>
              </w:rPr>
              <w:t>Measurement Periods</w:t>
            </w:r>
          </w:p>
          <w:p w14:paraId="780D7417" w14:textId="77777777" w:rsidR="008661AD" w:rsidRDefault="008661AD" w:rsidP="00A374B8">
            <w:pPr>
              <w:pStyle w:val="NoSpacing"/>
              <w:rPr>
                <w:b/>
              </w:rPr>
            </w:pPr>
          </w:p>
          <w:p w14:paraId="780D7418" w14:textId="77777777" w:rsidR="008661AD" w:rsidRPr="0011709A" w:rsidRDefault="008661AD" w:rsidP="007C728B">
            <w:pPr>
              <w:pStyle w:val="NoSpacing"/>
              <w:rPr>
                <w:i/>
              </w:rPr>
            </w:pPr>
            <w:r w:rsidRPr="0011709A">
              <w:rPr>
                <w:i/>
              </w:rPr>
              <w:t>(</w:t>
            </w:r>
            <w:r>
              <w:rPr>
                <w:i/>
              </w:rPr>
              <w:t xml:space="preserve">Note: </w:t>
            </w:r>
            <w:r w:rsidRPr="0011709A">
              <w:rPr>
                <w:i/>
              </w:rPr>
              <w:t xml:space="preserve">For P4P measures, DY3 Measurement Period is equivalent to </w:t>
            </w:r>
            <w:r w:rsidRPr="0011709A">
              <w:rPr>
                <w:i/>
              </w:rPr>
              <w:lastRenderedPageBreak/>
              <w:t>the Baseline Period for purposes of measuring improvement.)</w:t>
            </w:r>
          </w:p>
        </w:tc>
        <w:tc>
          <w:tcPr>
            <w:tcW w:w="2894" w:type="dxa"/>
            <w:shd w:val="clear" w:color="auto" w:fill="auto"/>
          </w:tcPr>
          <w:p w14:paraId="780D7419" w14:textId="77777777" w:rsidR="008661AD" w:rsidRDefault="008661AD" w:rsidP="004E7F26">
            <w:pPr>
              <w:pStyle w:val="NoSpacing"/>
              <w:rPr>
                <w:rFonts w:ascii="Calibri" w:hAnsi="Calibri"/>
                <w:b/>
                <w:bCs/>
              </w:rPr>
            </w:pPr>
            <w:r>
              <w:rPr>
                <w:b/>
                <w:bCs/>
              </w:rPr>
              <w:lastRenderedPageBreak/>
              <w:t xml:space="preserve">Providers must report data for </w:t>
            </w:r>
            <w:r>
              <w:rPr>
                <w:b/>
                <w:bCs/>
                <w:u w:val="single"/>
              </w:rPr>
              <w:t>one</w:t>
            </w:r>
            <w:r>
              <w:rPr>
                <w:b/>
                <w:bCs/>
              </w:rPr>
              <w:t xml:space="preserve"> of the following DY, SFY, or CY time periods:</w:t>
            </w:r>
          </w:p>
          <w:p w14:paraId="780D741A" w14:textId="77777777" w:rsidR="008661AD" w:rsidRDefault="008661AD" w:rsidP="004E7F26">
            <w:pPr>
              <w:pStyle w:val="NoSpacing"/>
            </w:pPr>
            <w:r>
              <w:rPr>
                <w:u w:val="single"/>
              </w:rPr>
              <w:t>12 Month Period</w:t>
            </w:r>
            <w:r>
              <w:t xml:space="preserve">: </w:t>
            </w:r>
          </w:p>
          <w:p w14:paraId="780D741B" w14:textId="77777777" w:rsidR="008661AD" w:rsidRDefault="008661AD" w:rsidP="004E7F26">
            <w:pPr>
              <w:pStyle w:val="NoSpacing"/>
              <w:numPr>
                <w:ilvl w:val="0"/>
                <w:numId w:val="10"/>
              </w:numPr>
              <w:ind w:left="504"/>
            </w:pPr>
            <w:r>
              <w:t xml:space="preserve">10/01/13 – 09/30/14, or </w:t>
            </w:r>
          </w:p>
          <w:p w14:paraId="780D741C" w14:textId="77777777" w:rsidR="008661AD" w:rsidRDefault="008661AD" w:rsidP="004E7F26">
            <w:pPr>
              <w:pStyle w:val="NoSpacing"/>
              <w:numPr>
                <w:ilvl w:val="0"/>
                <w:numId w:val="10"/>
              </w:numPr>
              <w:ind w:left="504"/>
            </w:pPr>
            <w:r>
              <w:t>09/01/13 – 08/31/14, or</w:t>
            </w:r>
          </w:p>
          <w:p w14:paraId="780D741D" w14:textId="77777777" w:rsidR="008661AD" w:rsidRDefault="008661AD" w:rsidP="004E7F26">
            <w:pPr>
              <w:pStyle w:val="NoSpacing"/>
              <w:numPr>
                <w:ilvl w:val="0"/>
                <w:numId w:val="10"/>
              </w:numPr>
              <w:ind w:left="504"/>
            </w:pPr>
            <w:r>
              <w:lastRenderedPageBreak/>
              <w:t>01/01/13 – 12/31/13, or</w:t>
            </w:r>
          </w:p>
          <w:p w14:paraId="780D741E" w14:textId="77777777" w:rsidR="008661AD" w:rsidRDefault="008661AD" w:rsidP="004E7F26">
            <w:pPr>
              <w:pStyle w:val="NoSpacing"/>
              <w:numPr>
                <w:ilvl w:val="0"/>
                <w:numId w:val="10"/>
              </w:numPr>
              <w:ind w:left="504"/>
            </w:pPr>
            <w:r>
              <w:t>10/01/12 – 09/30/13, or</w:t>
            </w:r>
          </w:p>
          <w:p w14:paraId="780D741F" w14:textId="77777777" w:rsidR="008661AD" w:rsidRDefault="008661AD" w:rsidP="004E7F26">
            <w:pPr>
              <w:pStyle w:val="NoSpacing"/>
              <w:numPr>
                <w:ilvl w:val="0"/>
                <w:numId w:val="10"/>
              </w:numPr>
              <w:ind w:left="504"/>
            </w:pPr>
            <w:r>
              <w:t>09/01/12 – 08/31/13</w:t>
            </w:r>
          </w:p>
          <w:p w14:paraId="780D7420" w14:textId="77777777" w:rsidR="008661AD" w:rsidRDefault="008661AD" w:rsidP="004E7F26">
            <w:pPr>
              <w:pStyle w:val="NoSpacing"/>
            </w:pPr>
            <w:r>
              <w:rPr>
                <w:u w:val="single"/>
              </w:rPr>
              <w:t>6 Month Period</w:t>
            </w:r>
            <w:r>
              <w:t xml:space="preserve">: </w:t>
            </w:r>
          </w:p>
          <w:p w14:paraId="780D7421" w14:textId="77777777" w:rsidR="008661AD" w:rsidRDefault="008661AD" w:rsidP="004E7F26">
            <w:pPr>
              <w:pStyle w:val="NoSpacing"/>
              <w:numPr>
                <w:ilvl w:val="0"/>
                <w:numId w:val="11"/>
              </w:numPr>
              <w:ind w:left="504"/>
            </w:pPr>
            <w:r>
              <w:t>04/01/14 – 09/30/14, or</w:t>
            </w:r>
          </w:p>
          <w:p w14:paraId="780D7422" w14:textId="77777777" w:rsidR="008661AD" w:rsidRDefault="008661AD" w:rsidP="004E7F26">
            <w:pPr>
              <w:pStyle w:val="NoSpacing"/>
              <w:numPr>
                <w:ilvl w:val="0"/>
                <w:numId w:val="11"/>
              </w:numPr>
              <w:ind w:left="504"/>
            </w:pPr>
            <w:r>
              <w:t>03/01/13 – 08/31/14, or</w:t>
            </w:r>
          </w:p>
          <w:p w14:paraId="780D7423" w14:textId="77777777" w:rsidR="008661AD" w:rsidRDefault="008661AD" w:rsidP="004E7F26">
            <w:pPr>
              <w:pStyle w:val="NoSpacing"/>
              <w:numPr>
                <w:ilvl w:val="0"/>
                <w:numId w:val="11"/>
              </w:numPr>
              <w:ind w:left="504"/>
            </w:pPr>
            <w:r>
              <w:t>01/01/13 – 06/30/13, or</w:t>
            </w:r>
          </w:p>
          <w:p w14:paraId="780D7424" w14:textId="77777777" w:rsidR="008661AD" w:rsidRDefault="008661AD" w:rsidP="004E7F26">
            <w:pPr>
              <w:pStyle w:val="NoSpacing"/>
              <w:numPr>
                <w:ilvl w:val="0"/>
                <w:numId w:val="11"/>
              </w:numPr>
              <w:ind w:left="504"/>
            </w:pPr>
            <w:r>
              <w:t>07/01/13 – 12/31/13</w:t>
            </w:r>
          </w:p>
          <w:p w14:paraId="780D7425" w14:textId="77777777" w:rsidR="008661AD" w:rsidRDefault="008661AD" w:rsidP="00886E0E">
            <w:pPr>
              <w:pStyle w:val="NoSpacing"/>
            </w:pPr>
            <w:r>
              <w:rPr>
                <w:u w:val="single"/>
              </w:rPr>
              <w:t>Other</w:t>
            </w:r>
            <w:r>
              <w:t>: Providers specify/propose an alternative 6 or 12 month time period to be reviewed and approved by HHSC.</w:t>
            </w:r>
          </w:p>
        </w:tc>
        <w:tc>
          <w:tcPr>
            <w:tcW w:w="2502" w:type="dxa"/>
          </w:tcPr>
          <w:p w14:paraId="780D7426" w14:textId="77777777" w:rsidR="008661AD" w:rsidRDefault="008661AD" w:rsidP="00886E0E">
            <w:pPr>
              <w:pStyle w:val="NoSpacing"/>
              <w:rPr>
                <w:b/>
              </w:rPr>
            </w:pPr>
            <w:r>
              <w:rPr>
                <w:b/>
              </w:rPr>
              <w:lastRenderedPageBreak/>
              <w:t>Providers must report data across a 12-month time period that meets the following parameters:</w:t>
            </w:r>
          </w:p>
          <w:p w14:paraId="780D7427" w14:textId="77777777" w:rsidR="008661AD" w:rsidRDefault="008661AD"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w:t>
            </w:r>
            <w:r>
              <w:lastRenderedPageBreak/>
              <w:t>the provider’s DY3 Measurement Period.</w:t>
            </w:r>
          </w:p>
          <w:p w14:paraId="780D7428" w14:textId="77777777" w:rsidR="008661AD" w:rsidRDefault="008661AD" w:rsidP="00743628">
            <w:pPr>
              <w:pStyle w:val="NoSpacing"/>
            </w:pPr>
            <w:r>
              <w:t xml:space="preserve">2. </w:t>
            </w:r>
            <w:r w:rsidRPr="00743628">
              <w:rPr>
                <w:u w:val="single"/>
              </w:rPr>
              <w:t>End date:</w:t>
            </w:r>
            <w:r>
              <w:t xml:space="preserve"> The end date for the reporting period must occur on or before 09/30/15.</w:t>
            </w:r>
          </w:p>
        </w:tc>
        <w:tc>
          <w:tcPr>
            <w:tcW w:w="2452" w:type="dxa"/>
          </w:tcPr>
          <w:p w14:paraId="780D7429" w14:textId="77777777" w:rsidR="008661AD" w:rsidRDefault="008661AD" w:rsidP="00743628">
            <w:pPr>
              <w:pStyle w:val="NoSpacing"/>
              <w:rPr>
                <w:b/>
              </w:rPr>
            </w:pPr>
            <w:r>
              <w:rPr>
                <w:b/>
              </w:rPr>
              <w:lastRenderedPageBreak/>
              <w:t>Providers must report data across a 12-month time period that meets the following parameters:</w:t>
            </w:r>
          </w:p>
          <w:p w14:paraId="780D742A" w14:textId="77777777" w:rsidR="008661AD" w:rsidRDefault="008661AD"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w:t>
            </w:r>
            <w:r>
              <w:lastRenderedPageBreak/>
              <w:t>the provider’s DY4 Measurement Period.</w:t>
            </w:r>
          </w:p>
          <w:p w14:paraId="780D742B" w14:textId="77777777" w:rsidR="008661AD" w:rsidRDefault="008661AD" w:rsidP="00743628">
            <w:pPr>
              <w:pStyle w:val="NoSpacing"/>
            </w:pPr>
            <w:r>
              <w:t xml:space="preserve">2. </w:t>
            </w:r>
            <w:r w:rsidRPr="00743628">
              <w:rPr>
                <w:u w:val="single"/>
              </w:rPr>
              <w:t>End date:</w:t>
            </w:r>
            <w:r>
              <w:t xml:space="preserve"> The end date for the reporting period must occur on or before 09/30/16.</w:t>
            </w:r>
          </w:p>
        </w:tc>
      </w:tr>
      <w:tr w:rsidR="008661AD" w14:paraId="780D7433" w14:textId="77777777" w:rsidTr="00984410">
        <w:tc>
          <w:tcPr>
            <w:tcW w:w="1728" w:type="dxa"/>
          </w:tcPr>
          <w:p w14:paraId="780D742D" w14:textId="77777777" w:rsidR="008661AD" w:rsidRDefault="008661AD" w:rsidP="00A374B8">
            <w:pPr>
              <w:pStyle w:val="NoSpacing"/>
              <w:rPr>
                <w:b/>
              </w:rPr>
            </w:pPr>
            <w:r>
              <w:rPr>
                <w:b/>
              </w:rPr>
              <w:lastRenderedPageBreak/>
              <w:t>Reporting Opportunities to HHSC</w:t>
            </w:r>
          </w:p>
        </w:tc>
        <w:tc>
          <w:tcPr>
            <w:tcW w:w="2894" w:type="dxa"/>
          </w:tcPr>
          <w:p w14:paraId="780D742E" w14:textId="77777777" w:rsidR="008661AD" w:rsidRDefault="008661AD" w:rsidP="00A374B8">
            <w:pPr>
              <w:pStyle w:val="NoSpacing"/>
              <w:jc w:val="center"/>
            </w:pPr>
            <w:r w:rsidRPr="00135F3A">
              <w:t>10</w:t>
            </w:r>
            <w:r>
              <w:t>/31/2014</w:t>
            </w:r>
          </w:p>
        </w:tc>
        <w:tc>
          <w:tcPr>
            <w:tcW w:w="2502" w:type="dxa"/>
          </w:tcPr>
          <w:p w14:paraId="780D742F" w14:textId="77777777" w:rsidR="008661AD" w:rsidRPr="00135F3A" w:rsidRDefault="008661AD" w:rsidP="00A374B8">
            <w:pPr>
              <w:pStyle w:val="NoSpacing"/>
              <w:jc w:val="center"/>
            </w:pPr>
            <w:r w:rsidRPr="00135F3A">
              <w:t>4/30/2015</w:t>
            </w:r>
          </w:p>
          <w:p w14:paraId="780D7430" w14:textId="77777777" w:rsidR="008661AD" w:rsidRPr="00AC6074" w:rsidRDefault="008661AD" w:rsidP="00A374B8">
            <w:pPr>
              <w:pStyle w:val="NoSpacing"/>
              <w:jc w:val="center"/>
              <w:rPr>
                <w:b/>
              </w:rPr>
            </w:pPr>
            <w:r w:rsidRPr="00135F3A">
              <w:t>10/31/2015</w:t>
            </w:r>
          </w:p>
        </w:tc>
        <w:tc>
          <w:tcPr>
            <w:tcW w:w="2452" w:type="dxa"/>
          </w:tcPr>
          <w:p w14:paraId="780D7431" w14:textId="77777777" w:rsidR="008661AD" w:rsidRPr="00135F3A" w:rsidRDefault="008661AD" w:rsidP="00A374B8">
            <w:pPr>
              <w:pStyle w:val="NoSpacing"/>
              <w:jc w:val="center"/>
            </w:pPr>
            <w:r w:rsidRPr="00135F3A">
              <w:t>4/30/2016</w:t>
            </w:r>
          </w:p>
          <w:p w14:paraId="780D7432" w14:textId="77777777" w:rsidR="008661AD" w:rsidRDefault="008661AD" w:rsidP="00A374B8">
            <w:pPr>
              <w:pStyle w:val="NoSpacing"/>
              <w:jc w:val="center"/>
              <w:rPr>
                <w:b/>
              </w:rPr>
            </w:pPr>
            <w:r w:rsidRPr="00135F3A">
              <w:t>10/31/2016</w:t>
            </w:r>
          </w:p>
        </w:tc>
      </w:tr>
      <w:tr w:rsidR="008661AD" w14:paraId="780D743B" w14:textId="77777777" w:rsidTr="00984410">
        <w:tc>
          <w:tcPr>
            <w:tcW w:w="1728" w:type="dxa"/>
          </w:tcPr>
          <w:p w14:paraId="780D7434" w14:textId="77777777" w:rsidR="008661AD" w:rsidRDefault="008661AD" w:rsidP="000D1199">
            <w:pPr>
              <w:pStyle w:val="NoSpacing"/>
              <w:rPr>
                <w:b/>
              </w:rPr>
            </w:pPr>
            <w:r>
              <w:rPr>
                <w:b/>
              </w:rPr>
              <w:t>Pay for Performance Target Methodology</w:t>
            </w:r>
          </w:p>
          <w:p w14:paraId="780D7435" w14:textId="77777777" w:rsidR="008661AD" w:rsidRDefault="008661AD" w:rsidP="000D1199">
            <w:pPr>
              <w:pStyle w:val="NoSpacing"/>
              <w:rPr>
                <w:b/>
              </w:rPr>
            </w:pPr>
          </w:p>
          <w:p w14:paraId="780D7437" w14:textId="77777777" w:rsidR="008661AD" w:rsidRPr="000D1199" w:rsidRDefault="008661AD" w:rsidP="00984410">
            <w:pPr>
              <w:pStyle w:val="NoSpacing"/>
            </w:pPr>
          </w:p>
        </w:tc>
        <w:tc>
          <w:tcPr>
            <w:tcW w:w="2894" w:type="dxa"/>
          </w:tcPr>
          <w:p w14:paraId="780D7438" w14:textId="77777777" w:rsidR="008661AD" w:rsidRDefault="008661AD" w:rsidP="000D1199">
            <w:pPr>
              <w:pStyle w:val="NoSpacing"/>
            </w:pPr>
            <w:r>
              <w:t>Not Applicable</w:t>
            </w:r>
          </w:p>
        </w:tc>
        <w:tc>
          <w:tcPr>
            <w:tcW w:w="2502" w:type="dxa"/>
          </w:tcPr>
          <w:p w14:paraId="780D7439" w14:textId="6D9119BA" w:rsidR="008661AD" w:rsidRDefault="008661AD" w:rsidP="000D1199">
            <w:pPr>
              <w:pStyle w:val="NoSpacing"/>
            </w:pPr>
            <w:r>
              <w:t>QISMC</w:t>
            </w:r>
          </w:p>
        </w:tc>
        <w:tc>
          <w:tcPr>
            <w:tcW w:w="2452" w:type="dxa"/>
          </w:tcPr>
          <w:p w14:paraId="780D743A" w14:textId="78496F80" w:rsidR="008661AD" w:rsidRDefault="008661AD" w:rsidP="000D1199">
            <w:pPr>
              <w:pStyle w:val="NoSpacing"/>
            </w:pPr>
            <w:r>
              <w:t>QISMC</w:t>
            </w:r>
          </w:p>
        </w:tc>
      </w:tr>
      <w:tr w:rsidR="008661AD" w14:paraId="780D7441" w14:textId="77777777" w:rsidTr="00984410">
        <w:tc>
          <w:tcPr>
            <w:tcW w:w="1728" w:type="dxa"/>
          </w:tcPr>
          <w:p w14:paraId="780D743C" w14:textId="77777777" w:rsidR="008661AD" w:rsidRDefault="008661AD" w:rsidP="00A374B8">
            <w:pPr>
              <w:pStyle w:val="NoSpacing"/>
              <w:rPr>
                <w:b/>
              </w:rPr>
            </w:pPr>
            <w:r>
              <w:rPr>
                <w:b/>
              </w:rPr>
              <w:t xml:space="preserve">Pay for Performance QISMC Benchmark Definition </w:t>
            </w:r>
          </w:p>
          <w:p w14:paraId="780D743D" w14:textId="77777777" w:rsidR="008661AD" w:rsidRPr="008B27F1" w:rsidRDefault="008661AD" w:rsidP="00A374B8">
            <w:pPr>
              <w:pStyle w:val="NoSpacing"/>
            </w:pPr>
          </w:p>
        </w:tc>
        <w:tc>
          <w:tcPr>
            <w:tcW w:w="2894" w:type="dxa"/>
          </w:tcPr>
          <w:p w14:paraId="780D743E" w14:textId="77777777" w:rsidR="008661AD" w:rsidRPr="0088544A" w:rsidRDefault="008661AD" w:rsidP="000D1199">
            <w:pPr>
              <w:pStyle w:val="NoSpacing"/>
            </w:pPr>
            <w:r>
              <w:t>Not Applicable</w:t>
            </w:r>
          </w:p>
        </w:tc>
        <w:tc>
          <w:tcPr>
            <w:tcW w:w="2502" w:type="dxa"/>
          </w:tcPr>
          <w:p w14:paraId="780D743F" w14:textId="64275DD3" w:rsidR="008661AD" w:rsidRPr="0088544A" w:rsidRDefault="008661AD" w:rsidP="0088642E">
            <w:pPr>
              <w:pStyle w:val="NoSpacing"/>
            </w:pPr>
            <w:r w:rsidRPr="0070574E">
              <w:t>National/ 90th- Medicaid</w:t>
            </w:r>
          </w:p>
        </w:tc>
        <w:tc>
          <w:tcPr>
            <w:tcW w:w="2452" w:type="dxa"/>
          </w:tcPr>
          <w:p w14:paraId="780D7440" w14:textId="5EB95A7C" w:rsidR="008661AD" w:rsidRPr="0088544A" w:rsidRDefault="008661AD" w:rsidP="004D0FC3">
            <w:pPr>
              <w:pStyle w:val="NoSpacing"/>
            </w:pPr>
            <w:r w:rsidRPr="0070574E">
              <w:t>National/ 90th- Medicaid</w:t>
            </w:r>
          </w:p>
        </w:tc>
      </w:tr>
      <w:tr w:rsidR="008661AD" w14:paraId="780D7447" w14:textId="77777777" w:rsidTr="00984410">
        <w:tc>
          <w:tcPr>
            <w:tcW w:w="1728" w:type="dxa"/>
          </w:tcPr>
          <w:p w14:paraId="780D7442" w14:textId="77777777" w:rsidR="008661AD" w:rsidRDefault="008661AD" w:rsidP="0088642E">
            <w:pPr>
              <w:pStyle w:val="NoSpacing"/>
              <w:rPr>
                <w:b/>
              </w:rPr>
            </w:pPr>
            <w:r>
              <w:rPr>
                <w:b/>
              </w:rPr>
              <w:t>Pay for Performance QISMC Benchmark Source</w:t>
            </w:r>
          </w:p>
          <w:p w14:paraId="780D7443" w14:textId="77777777" w:rsidR="008661AD" w:rsidRDefault="008661AD" w:rsidP="00A374B8">
            <w:pPr>
              <w:pStyle w:val="NoSpacing"/>
              <w:rPr>
                <w:b/>
              </w:rPr>
            </w:pPr>
          </w:p>
        </w:tc>
        <w:tc>
          <w:tcPr>
            <w:tcW w:w="2894" w:type="dxa"/>
          </w:tcPr>
          <w:p w14:paraId="780D7444" w14:textId="77777777" w:rsidR="008661AD" w:rsidRDefault="008661AD" w:rsidP="000D1199">
            <w:pPr>
              <w:pStyle w:val="NoSpacing"/>
            </w:pPr>
            <w:r>
              <w:t>Not Applicable</w:t>
            </w:r>
          </w:p>
        </w:tc>
        <w:tc>
          <w:tcPr>
            <w:tcW w:w="2502" w:type="dxa"/>
          </w:tcPr>
          <w:p w14:paraId="780D7445" w14:textId="31661A7E" w:rsidR="008661AD" w:rsidRDefault="008661AD" w:rsidP="006022C9">
            <w:pPr>
              <w:pStyle w:val="NoSpacing"/>
            </w:pPr>
            <w:r w:rsidRPr="0070574E">
              <w:t>HEDIS Quality Compass</w:t>
            </w:r>
          </w:p>
        </w:tc>
        <w:tc>
          <w:tcPr>
            <w:tcW w:w="2452" w:type="dxa"/>
          </w:tcPr>
          <w:p w14:paraId="780D7446" w14:textId="35131F01" w:rsidR="008661AD" w:rsidRDefault="008661AD" w:rsidP="006022C9">
            <w:pPr>
              <w:pStyle w:val="NoSpacing"/>
            </w:pPr>
            <w:r w:rsidRPr="0070574E">
              <w:t>HEDIS Quality Compass</w:t>
            </w:r>
          </w:p>
        </w:tc>
      </w:tr>
      <w:tr w:rsidR="008661AD" w14:paraId="780D744C" w14:textId="77777777" w:rsidTr="00984410">
        <w:tc>
          <w:tcPr>
            <w:tcW w:w="1728" w:type="dxa"/>
          </w:tcPr>
          <w:p w14:paraId="780D7448" w14:textId="77777777" w:rsidR="008661AD" w:rsidRDefault="008661AD" w:rsidP="00A374B8">
            <w:pPr>
              <w:pStyle w:val="NoSpacing"/>
              <w:rPr>
                <w:b/>
              </w:rPr>
            </w:pPr>
            <w:r>
              <w:rPr>
                <w:b/>
              </w:rPr>
              <w:t>Pay for Performance QISMC High Performance Level Definition</w:t>
            </w:r>
          </w:p>
        </w:tc>
        <w:tc>
          <w:tcPr>
            <w:tcW w:w="2894" w:type="dxa"/>
          </w:tcPr>
          <w:p w14:paraId="780D7449" w14:textId="77777777" w:rsidR="008661AD" w:rsidRDefault="008661AD" w:rsidP="000D1199">
            <w:pPr>
              <w:pStyle w:val="NoSpacing"/>
            </w:pPr>
            <w:r>
              <w:t>Not Applicable</w:t>
            </w:r>
          </w:p>
        </w:tc>
        <w:tc>
          <w:tcPr>
            <w:tcW w:w="2502" w:type="dxa"/>
          </w:tcPr>
          <w:p w14:paraId="780D744A" w14:textId="24BF40A6" w:rsidR="008661AD" w:rsidRDefault="008661AD" w:rsidP="005C70A1">
            <w:pPr>
              <w:pStyle w:val="NoSpacing"/>
            </w:pPr>
            <w:r>
              <w:t>90</w:t>
            </w:r>
            <w:r w:rsidRPr="0070574E">
              <w:rPr>
                <w:vertAlign w:val="superscript"/>
              </w:rPr>
              <w:t>th</w:t>
            </w:r>
            <w:r>
              <w:t xml:space="preserve"> percentile</w:t>
            </w:r>
          </w:p>
        </w:tc>
        <w:tc>
          <w:tcPr>
            <w:tcW w:w="2452" w:type="dxa"/>
          </w:tcPr>
          <w:p w14:paraId="780D744B" w14:textId="3FD590BC" w:rsidR="008661AD" w:rsidRDefault="008661AD" w:rsidP="004D0FC3">
            <w:pPr>
              <w:pStyle w:val="NoSpacing"/>
            </w:pPr>
            <w:r>
              <w:t>90</w:t>
            </w:r>
            <w:r w:rsidRPr="0070574E">
              <w:rPr>
                <w:vertAlign w:val="superscript"/>
              </w:rPr>
              <w:t>th</w:t>
            </w:r>
            <w:r>
              <w:t xml:space="preserve"> percentile</w:t>
            </w:r>
          </w:p>
        </w:tc>
      </w:tr>
      <w:tr w:rsidR="008661AD" w14:paraId="780D7451" w14:textId="77777777" w:rsidTr="00984410">
        <w:tc>
          <w:tcPr>
            <w:tcW w:w="1728" w:type="dxa"/>
          </w:tcPr>
          <w:p w14:paraId="780D744D" w14:textId="77777777" w:rsidR="008661AD" w:rsidRDefault="008661AD" w:rsidP="005802A0">
            <w:pPr>
              <w:pStyle w:val="NoSpacing"/>
              <w:rPr>
                <w:b/>
              </w:rPr>
            </w:pPr>
            <w:r>
              <w:rPr>
                <w:b/>
              </w:rPr>
              <w:t xml:space="preserve">Pay for Performance </w:t>
            </w:r>
            <w:r>
              <w:rPr>
                <w:b/>
              </w:rPr>
              <w:lastRenderedPageBreak/>
              <w:t>QISMC High Performance Level Value</w:t>
            </w:r>
          </w:p>
        </w:tc>
        <w:tc>
          <w:tcPr>
            <w:tcW w:w="2894" w:type="dxa"/>
          </w:tcPr>
          <w:p w14:paraId="780D744E" w14:textId="77777777" w:rsidR="008661AD" w:rsidRDefault="008661AD" w:rsidP="000D1199">
            <w:pPr>
              <w:pStyle w:val="NoSpacing"/>
            </w:pPr>
            <w:r>
              <w:lastRenderedPageBreak/>
              <w:t>Not Applicable</w:t>
            </w:r>
          </w:p>
        </w:tc>
        <w:tc>
          <w:tcPr>
            <w:tcW w:w="2502" w:type="dxa"/>
          </w:tcPr>
          <w:p w14:paraId="780D744F" w14:textId="02D1F621" w:rsidR="008661AD" w:rsidRDefault="008661AD" w:rsidP="005802A0">
            <w:pPr>
              <w:pStyle w:val="NoSpacing"/>
            </w:pPr>
            <w:r>
              <w:t>76.64%</w:t>
            </w:r>
          </w:p>
        </w:tc>
        <w:tc>
          <w:tcPr>
            <w:tcW w:w="2452" w:type="dxa"/>
          </w:tcPr>
          <w:p w14:paraId="780D7450" w14:textId="6A3F0FBF" w:rsidR="008661AD" w:rsidRDefault="008661AD" w:rsidP="00A332FD">
            <w:pPr>
              <w:pStyle w:val="NoSpacing"/>
            </w:pPr>
            <w:r>
              <w:t>76.64%</w:t>
            </w:r>
          </w:p>
        </w:tc>
      </w:tr>
      <w:tr w:rsidR="008661AD" w14:paraId="780D7456" w14:textId="77777777" w:rsidTr="00984410">
        <w:tc>
          <w:tcPr>
            <w:tcW w:w="1728" w:type="dxa"/>
          </w:tcPr>
          <w:p w14:paraId="780D7452" w14:textId="77777777" w:rsidR="008661AD" w:rsidRDefault="008661AD" w:rsidP="00823868">
            <w:pPr>
              <w:pStyle w:val="NoSpacing"/>
              <w:rPr>
                <w:b/>
              </w:rPr>
            </w:pPr>
            <w:r>
              <w:rPr>
                <w:b/>
              </w:rPr>
              <w:lastRenderedPageBreak/>
              <w:t>Pay for Performance QISMC Minimum Performance Level Definition</w:t>
            </w:r>
          </w:p>
        </w:tc>
        <w:tc>
          <w:tcPr>
            <w:tcW w:w="2894" w:type="dxa"/>
          </w:tcPr>
          <w:p w14:paraId="780D7453" w14:textId="77777777" w:rsidR="008661AD" w:rsidRDefault="008661AD" w:rsidP="000D1199">
            <w:pPr>
              <w:pStyle w:val="NoSpacing"/>
            </w:pPr>
            <w:r>
              <w:t>Not Applicable</w:t>
            </w:r>
          </w:p>
        </w:tc>
        <w:tc>
          <w:tcPr>
            <w:tcW w:w="2502" w:type="dxa"/>
          </w:tcPr>
          <w:p w14:paraId="780D7454" w14:textId="5AD1F8FA" w:rsidR="008661AD" w:rsidRDefault="008661AD" w:rsidP="005802A0">
            <w:pPr>
              <w:pStyle w:val="NoSpacing"/>
            </w:pPr>
            <w:r>
              <w:t>25</w:t>
            </w:r>
            <w:r w:rsidRPr="0070574E">
              <w:rPr>
                <w:vertAlign w:val="superscript"/>
              </w:rPr>
              <w:t>th</w:t>
            </w:r>
            <w:r>
              <w:t xml:space="preserve"> percentile</w:t>
            </w:r>
          </w:p>
        </w:tc>
        <w:tc>
          <w:tcPr>
            <w:tcW w:w="2452" w:type="dxa"/>
          </w:tcPr>
          <w:p w14:paraId="780D7455" w14:textId="690F4BE5" w:rsidR="008661AD" w:rsidRDefault="008661AD" w:rsidP="004D0FC3">
            <w:pPr>
              <w:pStyle w:val="NoSpacing"/>
            </w:pPr>
            <w:r>
              <w:t>25</w:t>
            </w:r>
            <w:r w:rsidRPr="0070574E">
              <w:rPr>
                <w:vertAlign w:val="superscript"/>
              </w:rPr>
              <w:t>th</w:t>
            </w:r>
            <w:r>
              <w:t xml:space="preserve"> percentile</w:t>
            </w:r>
          </w:p>
        </w:tc>
      </w:tr>
      <w:tr w:rsidR="008661AD" w14:paraId="780D745B" w14:textId="77777777" w:rsidTr="00984410">
        <w:tc>
          <w:tcPr>
            <w:tcW w:w="1728" w:type="dxa"/>
          </w:tcPr>
          <w:p w14:paraId="780D7457" w14:textId="77777777" w:rsidR="008661AD" w:rsidRDefault="008661AD" w:rsidP="004D0FC3">
            <w:pPr>
              <w:pStyle w:val="NoSpacing"/>
              <w:rPr>
                <w:b/>
              </w:rPr>
            </w:pPr>
            <w:r>
              <w:rPr>
                <w:b/>
              </w:rPr>
              <w:t>Pay for Performance QISMC Minimum Performance Level Value</w:t>
            </w:r>
          </w:p>
        </w:tc>
        <w:tc>
          <w:tcPr>
            <w:tcW w:w="2894" w:type="dxa"/>
          </w:tcPr>
          <w:p w14:paraId="780D7458" w14:textId="77777777" w:rsidR="008661AD" w:rsidRDefault="008661AD" w:rsidP="004D0FC3">
            <w:pPr>
              <w:pStyle w:val="NoSpacing"/>
            </w:pPr>
            <w:r>
              <w:t>Not Applicable</w:t>
            </w:r>
          </w:p>
        </w:tc>
        <w:tc>
          <w:tcPr>
            <w:tcW w:w="2502" w:type="dxa"/>
          </w:tcPr>
          <w:p w14:paraId="780D7459" w14:textId="7F851AA4" w:rsidR="008661AD" w:rsidRDefault="008661AD" w:rsidP="00A332FD">
            <w:pPr>
              <w:pStyle w:val="NoSpacing"/>
            </w:pPr>
            <w:r>
              <w:t>61.7%</w:t>
            </w:r>
            <w:bookmarkStart w:id="0" w:name="_GoBack"/>
            <w:bookmarkEnd w:id="0"/>
          </w:p>
        </w:tc>
        <w:tc>
          <w:tcPr>
            <w:tcW w:w="2452" w:type="dxa"/>
          </w:tcPr>
          <w:p w14:paraId="780D745A" w14:textId="48F09217" w:rsidR="008661AD" w:rsidRDefault="008661AD" w:rsidP="005802A0">
            <w:pPr>
              <w:pStyle w:val="NoSpacing"/>
            </w:pPr>
            <w:r>
              <w:t>61.7%</w:t>
            </w:r>
          </w:p>
        </w:tc>
      </w:tr>
    </w:tbl>
    <w:p w14:paraId="780D745C" w14:textId="77777777" w:rsidR="00356CF4" w:rsidRPr="008F249E" w:rsidRDefault="00356CF4" w:rsidP="007C7C85">
      <w:pPr>
        <w:pStyle w:val="Heading2"/>
      </w:pPr>
    </w:p>
    <w:sectPr w:rsidR="00356CF4" w:rsidRPr="008F249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7E957" w14:textId="77777777" w:rsidR="007C7461" w:rsidRDefault="007C7461" w:rsidP="00F63191">
      <w:pPr>
        <w:spacing w:after="0" w:line="240" w:lineRule="auto"/>
      </w:pPr>
      <w:r>
        <w:separator/>
      </w:r>
    </w:p>
  </w:endnote>
  <w:endnote w:type="continuationSeparator" w:id="0">
    <w:p w14:paraId="57D7EDB8" w14:textId="77777777" w:rsidR="007C7461" w:rsidRDefault="007C7461"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780D7462" w14:textId="77777777" w:rsidR="002E14AF" w:rsidRDefault="002E14AF">
        <w:pPr>
          <w:pStyle w:val="Footer"/>
          <w:jc w:val="right"/>
        </w:pPr>
        <w:r>
          <w:fldChar w:fldCharType="begin"/>
        </w:r>
        <w:r>
          <w:instrText xml:space="preserve"> PAGE   \* MERGEFORMAT </w:instrText>
        </w:r>
        <w:r>
          <w:fldChar w:fldCharType="separate"/>
        </w:r>
        <w:r w:rsidR="00984410">
          <w:rPr>
            <w:noProof/>
          </w:rPr>
          <w:t>3</w:t>
        </w:r>
        <w:r>
          <w:rPr>
            <w:noProof/>
          </w:rPr>
          <w:fldChar w:fldCharType="end"/>
        </w:r>
      </w:p>
    </w:sdtContent>
  </w:sdt>
  <w:p w14:paraId="780D7463"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ADC25" w14:textId="77777777" w:rsidR="007C7461" w:rsidRDefault="007C7461" w:rsidP="00F63191">
      <w:pPr>
        <w:spacing w:after="0" w:line="240" w:lineRule="auto"/>
      </w:pPr>
      <w:r>
        <w:separator/>
      </w:r>
    </w:p>
  </w:footnote>
  <w:footnote w:type="continuationSeparator" w:id="0">
    <w:p w14:paraId="66B59FFE" w14:textId="77777777" w:rsidR="007C7461" w:rsidRDefault="007C7461"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7461" w14:textId="27A04AE7"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3D7636"/>
    <w:multiLevelType w:val="hybridMultilevel"/>
    <w:tmpl w:val="8074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2B7882"/>
    <w:multiLevelType w:val="hybridMultilevel"/>
    <w:tmpl w:val="F0BA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9"/>
  </w:num>
  <w:num w:numId="5">
    <w:abstractNumId w:val="2"/>
  </w:num>
  <w:num w:numId="6">
    <w:abstractNumId w:val="6"/>
  </w:num>
  <w:num w:numId="7">
    <w:abstractNumId w:val="11"/>
  </w:num>
  <w:num w:numId="8">
    <w:abstractNumId w:val="7"/>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A2D99"/>
    <w:rsid w:val="000C575F"/>
    <w:rsid w:val="000D1199"/>
    <w:rsid w:val="000D5A2D"/>
    <w:rsid w:val="000E7EED"/>
    <w:rsid w:val="00100A2F"/>
    <w:rsid w:val="00107C1A"/>
    <w:rsid w:val="00116208"/>
    <w:rsid w:val="0011709A"/>
    <w:rsid w:val="00165D76"/>
    <w:rsid w:val="00193811"/>
    <w:rsid w:val="001D6BEA"/>
    <w:rsid w:val="002224F0"/>
    <w:rsid w:val="00223F3A"/>
    <w:rsid w:val="00245754"/>
    <w:rsid w:val="00271E53"/>
    <w:rsid w:val="002845C2"/>
    <w:rsid w:val="00284634"/>
    <w:rsid w:val="002E14AF"/>
    <w:rsid w:val="002E2320"/>
    <w:rsid w:val="0032246B"/>
    <w:rsid w:val="003268B7"/>
    <w:rsid w:val="00346B8D"/>
    <w:rsid w:val="00356CF4"/>
    <w:rsid w:val="00366D0B"/>
    <w:rsid w:val="00375652"/>
    <w:rsid w:val="00383516"/>
    <w:rsid w:val="003844DB"/>
    <w:rsid w:val="00390219"/>
    <w:rsid w:val="003A409E"/>
    <w:rsid w:val="003F4E8D"/>
    <w:rsid w:val="00416E44"/>
    <w:rsid w:val="004E7F26"/>
    <w:rsid w:val="00502BE4"/>
    <w:rsid w:val="00506BC5"/>
    <w:rsid w:val="00512763"/>
    <w:rsid w:val="00520BB8"/>
    <w:rsid w:val="00536799"/>
    <w:rsid w:val="00561D6D"/>
    <w:rsid w:val="0057469C"/>
    <w:rsid w:val="005802A0"/>
    <w:rsid w:val="005857E6"/>
    <w:rsid w:val="005B79DD"/>
    <w:rsid w:val="005C70A1"/>
    <w:rsid w:val="005F4D43"/>
    <w:rsid w:val="006022C9"/>
    <w:rsid w:val="006F5FB8"/>
    <w:rsid w:val="0070574E"/>
    <w:rsid w:val="0071629B"/>
    <w:rsid w:val="007164C7"/>
    <w:rsid w:val="00743628"/>
    <w:rsid w:val="00760D27"/>
    <w:rsid w:val="00787D45"/>
    <w:rsid w:val="007C728B"/>
    <w:rsid w:val="007C7461"/>
    <w:rsid w:val="007C7C85"/>
    <w:rsid w:val="007E0395"/>
    <w:rsid w:val="007F675B"/>
    <w:rsid w:val="007F7C07"/>
    <w:rsid w:val="00823868"/>
    <w:rsid w:val="00827557"/>
    <w:rsid w:val="008661AD"/>
    <w:rsid w:val="008722BB"/>
    <w:rsid w:val="00874FAA"/>
    <w:rsid w:val="008779F5"/>
    <w:rsid w:val="0088642E"/>
    <w:rsid w:val="00886E0E"/>
    <w:rsid w:val="008A5405"/>
    <w:rsid w:val="008D1A8E"/>
    <w:rsid w:val="008F0411"/>
    <w:rsid w:val="008F249E"/>
    <w:rsid w:val="00920853"/>
    <w:rsid w:val="00965A2A"/>
    <w:rsid w:val="00967948"/>
    <w:rsid w:val="00984410"/>
    <w:rsid w:val="00994A41"/>
    <w:rsid w:val="00996DD5"/>
    <w:rsid w:val="009A4999"/>
    <w:rsid w:val="009A7508"/>
    <w:rsid w:val="009C6EA3"/>
    <w:rsid w:val="009F04D0"/>
    <w:rsid w:val="009F78A7"/>
    <w:rsid w:val="009F7E66"/>
    <w:rsid w:val="00A079A7"/>
    <w:rsid w:val="00A11BD9"/>
    <w:rsid w:val="00A124EE"/>
    <w:rsid w:val="00A332FD"/>
    <w:rsid w:val="00A82574"/>
    <w:rsid w:val="00A920D1"/>
    <w:rsid w:val="00AA0CA2"/>
    <w:rsid w:val="00AC3A97"/>
    <w:rsid w:val="00AD706B"/>
    <w:rsid w:val="00AF3A3D"/>
    <w:rsid w:val="00B0558E"/>
    <w:rsid w:val="00B05CBF"/>
    <w:rsid w:val="00B20462"/>
    <w:rsid w:val="00B546CF"/>
    <w:rsid w:val="00B65D92"/>
    <w:rsid w:val="00B7257A"/>
    <w:rsid w:val="00BA61F1"/>
    <w:rsid w:val="00BC4643"/>
    <w:rsid w:val="00C01E6F"/>
    <w:rsid w:val="00C07E54"/>
    <w:rsid w:val="00C36D72"/>
    <w:rsid w:val="00C86C48"/>
    <w:rsid w:val="00C9758A"/>
    <w:rsid w:val="00CA2D3E"/>
    <w:rsid w:val="00CA4C08"/>
    <w:rsid w:val="00CC28BC"/>
    <w:rsid w:val="00CD7069"/>
    <w:rsid w:val="00CE2F2D"/>
    <w:rsid w:val="00D1777E"/>
    <w:rsid w:val="00D40474"/>
    <w:rsid w:val="00D56096"/>
    <w:rsid w:val="00D63CD3"/>
    <w:rsid w:val="00DA0866"/>
    <w:rsid w:val="00DB7651"/>
    <w:rsid w:val="00DE660A"/>
    <w:rsid w:val="00E1692C"/>
    <w:rsid w:val="00E43145"/>
    <w:rsid w:val="00EB6678"/>
    <w:rsid w:val="00EE53C9"/>
    <w:rsid w:val="00EF333D"/>
    <w:rsid w:val="00F05C01"/>
    <w:rsid w:val="00F069C3"/>
    <w:rsid w:val="00F06C5E"/>
    <w:rsid w:val="00F20443"/>
    <w:rsid w:val="00F63191"/>
    <w:rsid w:val="00F64CD1"/>
    <w:rsid w:val="00F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paragraph" w:styleId="NormalWeb">
    <w:name w:val="Normal (Web)"/>
    <w:basedOn w:val="Normal"/>
    <w:uiPriority w:val="99"/>
    <w:semiHidden/>
    <w:unhideWhenUsed/>
    <w:rsid w:val="00A124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A124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4EE"/>
    <w:rPr>
      <w:b/>
      <w:bCs/>
    </w:rPr>
  </w:style>
  <w:style w:type="character" w:styleId="Emphasis">
    <w:name w:val="Emphasis"/>
    <w:basedOn w:val="DefaultParagraphFont"/>
    <w:uiPriority w:val="20"/>
    <w:qFormat/>
    <w:rsid w:val="00A124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paragraph" w:styleId="NormalWeb">
    <w:name w:val="Normal (Web)"/>
    <w:basedOn w:val="Normal"/>
    <w:uiPriority w:val="99"/>
    <w:semiHidden/>
    <w:unhideWhenUsed/>
    <w:rsid w:val="00A124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A124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4EE"/>
    <w:rPr>
      <w:b/>
      <w:bCs/>
    </w:rPr>
  </w:style>
  <w:style w:type="character" w:styleId="Emphasis">
    <w:name w:val="Emphasis"/>
    <w:basedOn w:val="DefaultParagraphFont"/>
    <w:uiPriority w:val="20"/>
    <w:qFormat/>
    <w:rsid w:val="00A124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1099">
      <w:bodyDiv w:val="1"/>
      <w:marLeft w:val="0"/>
      <w:marRight w:val="0"/>
      <w:marTop w:val="0"/>
      <w:marBottom w:val="0"/>
      <w:divBdr>
        <w:top w:val="none" w:sz="0" w:space="0" w:color="auto"/>
        <w:left w:val="none" w:sz="0" w:space="0" w:color="auto"/>
        <w:bottom w:val="none" w:sz="0" w:space="0" w:color="auto"/>
        <w:right w:val="none" w:sz="0" w:space="0" w:color="auto"/>
      </w:divBdr>
    </w:div>
    <w:div w:id="140777916">
      <w:bodyDiv w:val="1"/>
      <w:marLeft w:val="0"/>
      <w:marRight w:val="0"/>
      <w:marTop w:val="0"/>
      <w:marBottom w:val="0"/>
      <w:divBdr>
        <w:top w:val="none" w:sz="0" w:space="0" w:color="auto"/>
        <w:left w:val="none" w:sz="0" w:space="0" w:color="auto"/>
        <w:bottom w:val="none" w:sz="0" w:space="0" w:color="auto"/>
        <w:right w:val="none" w:sz="0" w:space="0" w:color="auto"/>
      </w:divBdr>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249509858">
      <w:bodyDiv w:val="1"/>
      <w:marLeft w:val="0"/>
      <w:marRight w:val="0"/>
      <w:marTop w:val="0"/>
      <w:marBottom w:val="0"/>
      <w:divBdr>
        <w:top w:val="none" w:sz="0" w:space="0" w:color="auto"/>
        <w:left w:val="none" w:sz="0" w:space="0" w:color="auto"/>
        <w:bottom w:val="none" w:sz="0" w:space="0" w:color="auto"/>
        <w:right w:val="none" w:sz="0" w:space="0" w:color="auto"/>
      </w:divBdr>
    </w:div>
    <w:div w:id="679888686">
      <w:bodyDiv w:val="1"/>
      <w:marLeft w:val="0"/>
      <w:marRight w:val="0"/>
      <w:marTop w:val="0"/>
      <w:marBottom w:val="0"/>
      <w:divBdr>
        <w:top w:val="none" w:sz="0" w:space="0" w:color="auto"/>
        <w:left w:val="none" w:sz="0" w:space="0" w:color="auto"/>
        <w:bottom w:val="none" w:sz="0" w:space="0" w:color="auto"/>
        <w:right w:val="none" w:sz="0" w:space="0" w:color="auto"/>
      </w:divBdr>
    </w:div>
    <w:div w:id="1322124051">
      <w:bodyDiv w:val="1"/>
      <w:marLeft w:val="0"/>
      <w:marRight w:val="0"/>
      <w:marTop w:val="0"/>
      <w:marBottom w:val="0"/>
      <w:divBdr>
        <w:top w:val="none" w:sz="0" w:space="0" w:color="auto"/>
        <w:left w:val="none" w:sz="0" w:space="0" w:color="auto"/>
        <w:bottom w:val="none" w:sz="0" w:space="0" w:color="auto"/>
        <w:right w:val="none" w:sz="0" w:space="0" w:color="auto"/>
      </w:divBdr>
    </w:div>
    <w:div w:id="19489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cqa.org/HEDISQualityMeasurement/HEDISMeasures/HEDIS2014/HEDIS2014FinalNDCLists.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litymeasures.ahrq.gov/content.aspx?id=389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9A798-272A-4EC7-85BB-DFB1824B2600}">
  <ds:schemaRefs>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6DF53B5-945C-41FF-9624-38020C4A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Woodard,Jennifer (HHSC)</cp:lastModifiedBy>
  <cp:revision>2</cp:revision>
  <dcterms:created xsi:type="dcterms:W3CDTF">2014-02-28T22:54:00Z</dcterms:created>
  <dcterms:modified xsi:type="dcterms:W3CDTF">2014-02-28T22:54:00Z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