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B8A8" w14:textId="5930224B" w:rsidR="00AD706B" w:rsidRDefault="00567147" w:rsidP="00AD706B">
      <w:pPr>
        <w:pStyle w:val="Heading1"/>
      </w:pPr>
      <w:r w:rsidRPr="00567147">
        <w:t>IT- 1.3</w:t>
      </w:r>
      <w:r>
        <w:t>3</w:t>
      </w:r>
      <w:r w:rsidRPr="00567147">
        <w:t xml:space="preserve">:  Medical Assistance </w:t>
      </w:r>
      <w:proofErr w:type="gramStart"/>
      <w:r w:rsidRPr="00567147">
        <w:t>With</w:t>
      </w:r>
      <w:proofErr w:type="gramEnd"/>
      <w:r w:rsidRPr="00567147">
        <w:t xml:space="preserve"> Smoking and Tobacco Use Cessation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AD706B" w14:paraId="544DB8AB" w14:textId="77777777" w:rsidTr="00AE1B5E">
        <w:trPr>
          <w:tblHeader/>
        </w:trPr>
        <w:tc>
          <w:tcPr>
            <w:tcW w:w="2808" w:type="dxa"/>
            <w:shd w:val="clear" w:color="auto" w:fill="F2F2F2" w:themeFill="background1" w:themeFillShade="F2"/>
          </w:tcPr>
          <w:p w14:paraId="544DB8A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544DB8AA" w14:textId="22C8DC3B" w:rsidR="00AD706B" w:rsidRPr="008779F5" w:rsidRDefault="00FC6B2E" w:rsidP="00B147B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IT-1.33 </w:t>
            </w:r>
            <w:r w:rsidR="00567147" w:rsidRPr="00567147">
              <w:rPr>
                <w:b/>
              </w:rPr>
              <w:t xml:space="preserve">Medical assistance with smoking and tobacco use cessation: percentage of </w:t>
            </w:r>
            <w:r w:rsidR="006D373A">
              <w:rPr>
                <w:b/>
              </w:rPr>
              <w:t>patient</w:t>
            </w:r>
            <w:r w:rsidR="00B147B3" w:rsidRPr="00567147">
              <w:rPr>
                <w:b/>
              </w:rPr>
              <w:t xml:space="preserve">s </w:t>
            </w:r>
            <w:r w:rsidR="00567147" w:rsidRPr="00567147">
              <w:rPr>
                <w:b/>
              </w:rPr>
              <w:t>18 years of age and older who were current smokers or tobacco users who received advice to quit during the measurement year.</w:t>
            </w:r>
          </w:p>
        </w:tc>
      </w:tr>
      <w:tr w:rsidR="00AD706B" w14:paraId="544DB8AE" w14:textId="77777777" w:rsidTr="00AE1B5E">
        <w:tc>
          <w:tcPr>
            <w:tcW w:w="2808" w:type="dxa"/>
          </w:tcPr>
          <w:p w14:paraId="544DB8A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768" w:type="dxa"/>
          </w:tcPr>
          <w:p w14:paraId="07A5199A" w14:textId="769D24FE" w:rsidR="00567147" w:rsidRPr="00164CF9" w:rsidRDefault="00567147" w:rsidP="005671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4CF9">
              <w:rPr>
                <w:rFonts w:eastAsia="Times New Roman" w:cs="Times New Roman"/>
                <w:sz w:val="24"/>
                <w:szCs w:val="24"/>
              </w:rPr>
              <w:t xml:space="preserve">This measure is one component of a three-part survey measure that looks at the health care provider's role in curbing smoking and tobacco use. </w:t>
            </w:r>
          </w:p>
          <w:p w14:paraId="69DD05AC" w14:textId="163C60D8" w:rsidR="004F6B56" w:rsidRPr="00AE1B5E" w:rsidRDefault="00D03F04" w:rsidP="00AE1B5E">
            <w:pPr>
              <w:spacing w:before="100" w:beforeAutospacing="1" w:after="100" w:afterAutospacing="1" w:line="240" w:lineRule="auto"/>
              <w:ind w:left="43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Rate #1: </w:t>
            </w:r>
            <w:r w:rsidR="004F6B56">
              <w:rPr>
                <w:rFonts w:eastAsia="Times New Roman" w:cs="Times New Roman"/>
                <w:sz w:val="24"/>
                <w:szCs w:val="24"/>
              </w:rPr>
              <w:t xml:space="preserve">Medical advice to quit smoking: </w:t>
            </w:r>
            <w:r w:rsidR="004F6B56" w:rsidRPr="00164CF9">
              <w:rPr>
                <w:rFonts w:eastAsia="Times New Roman" w:cs="Times New Roman"/>
                <w:sz w:val="24"/>
                <w:szCs w:val="24"/>
              </w:rPr>
              <w:t>percentage of patients 18 years of age and older who were current smokers or tobacco users and who received advice to quit smoking during the measurement year</w:t>
            </w:r>
          </w:p>
          <w:p w14:paraId="544B4F6B" w14:textId="47C87B84" w:rsidR="00567147" w:rsidRPr="00164CF9" w:rsidRDefault="00D03F04" w:rsidP="00AE1B5E">
            <w:pPr>
              <w:spacing w:before="100" w:beforeAutospacing="1" w:after="100" w:afterAutospacing="1" w:line="240" w:lineRule="auto"/>
              <w:ind w:left="432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Rate #2: </w:t>
            </w:r>
            <w:hyperlink r:id="rId12" w:tooltip="Measure Summary" w:history="1">
              <w:r w:rsidR="004F6B56">
                <w:rPr>
                  <w:rFonts w:eastAsia="Times New Roman" w:cs="Times New Roman"/>
                  <w:sz w:val="24"/>
                  <w:szCs w:val="24"/>
                </w:rPr>
                <w:t>Cessation Medications</w:t>
              </w:r>
              <w:r w:rsidR="00567147" w:rsidRPr="00164CF9">
                <w:rPr>
                  <w:rFonts w:eastAsia="Times New Roman" w:cs="Times New Roman"/>
                  <w:sz w:val="24"/>
                  <w:szCs w:val="24"/>
                </w:rPr>
                <w:t xml:space="preserve">: percentage of </w:t>
              </w:r>
              <w:r w:rsidR="006D373A" w:rsidRPr="00164CF9">
                <w:rPr>
                  <w:rFonts w:eastAsia="Times New Roman" w:cs="Times New Roman"/>
                  <w:sz w:val="24"/>
                  <w:szCs w:val="24"/>
                </w:rPr>
                <w:t>patient</w:t>
              </w:r>
              <w:r w:rsidR="00B147B3" w:rsidRPr="00164CF9">
                <w:rPr>
                  <w:rFonts w:eastAsia="Times New Roman" w:cs="Times New Roman"/>
                  <w:sz w:val="24"/>
                  <w:szCs w:val="24"/>
                </w:rPr>
                <w:t xml:space="preserve">s </w:t>
              </w:r>
              <w:r w:rsidR="00567147" w:rsidRPr="00164CF9">
                <w:rPr>
                  <w:rFonts w:eastAsia="Times New Roman" w:cs="Times New Roman"/>
                  <w:sz w:val="24"/>
                  <w:szCs w:val="24"/>
                </w:rPr>
                <w:t>18 years of age and older who were current smokers or tobacco users and who discussed or were recommended cessation medications during the measurement year</w:t>
              </w:r>
            </w:hyperlink>
            <w:r w:rsidR="00567147" w:rsidRPr="00164CF9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14:paraId="544DB8AD" w14:textId="71374CE5" w:rsidR="00AD706B" w:rsidRDefault="00D03F04" w:rsidP="00AE1B5E">
            <w:pPr>
              <w:spacing w:before="100" w:beforeAutospacing="1" w:after="100" w:afterAutospacing="1" w:line="240" w:lineRule="auto"/>
              <w:ind w:left="432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Rate #3: </w:t>
            </w:r>
            <w:r w:rsidR="004F6B56">
              <w:rPr>
                <w:rFonts w:eastAsia="Times New Roman" w:cs="Times New Roman"/>
                <w:sz w:val="24"/>
                <w:szCs w:val="24"/>
              </w:rPr>
              <w:t>Cessation Methods/Strategies</w:t>
            </w:r>
            <w:r w:rsidR="00567147" w:rsidRPr="00164CF9">
              <w:rPr>
                <w:rFonts w:eastAsia="Times New Roman" w:cs="Times New Roman"/>
                <w:sz w:val="24"/>
                <w:szCs w:val="24"/>
              </w:rPr>
              <w:t xml:space="preserve">: percentage of </w:t>
            </w:r>
            <w:r w:rsidR="006D373A" w:rsidRPr="00164CF9">
              <w:rPr>
                <w:rFonts w:eastAsia="Times New Roman" w:cs="Times New Roman"/>
                <w:sz w:val="24"/>
                <w:szCs w:val="24"/>
              </w:rPr>
              <w:t>patient</w:t>
            </w:r>
            <w:r w:rsidR="00B147B3" w:rsidRPr="00164CF9">
              <w:rPr>
                <w:rFonts w:eastAsia="Times New Roman" w:cs="Times New Roman"/>
                <w:sz w:val="24"/>
                <w:szCs w:val="24"/>
              </w:rPr>
              <w:t xml:space="preserve">s </w:t>
            </w:r>
            <w:r w:rsidR="00567147" w:rsidRPr="00164CF9">
              <w:rPr>
                <w:rFonts w:eastAsia="Times New Roman" w:cs="Times New Roman"/>
                <w:sz w:val="24"/>
                <w:szCs w:val="24"/>
              </w:rPr>
              <w:t>18 years and older who were current smokers or tobacco users and who discussed or were provided cessation methods or strategies during the measurement year.</w:t>
            </w:r>
            <w:r w:rsidR="00567147" w:rsidRPr="0056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06B" w14:paraId="544DB8B1" w14:textId="77777777" w:rsidTr="00AE1B5E">
        <w:tc>
          <w:tcPr>
            <w:tcW w:w="2808" w:type="dxa"/>
          </w:tcPr>
          <w:p w14:paraId="544DB8AF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768" w:type="dxa"/>
          </w:tcPr>
          <w:p w14:paraId="544DB8B0" w14:textId="75691202" w:rsidR="00AD706B" w:rsidRDefault="00950024" w:rsidP="00B05CBF">
            <w:pPr>
              <w:pStyle w:val="NoSpacing"/>
            </w:pPr>
            <w:r>
              <w:t>27</w:t>
            </w:r>
          </w:p>
        </w:tc>
      </w:tr>
      <w:tr w:rsidR="00AD706B" w14:paraId="544DB8B4" w14:textId="77777777" w:rsidTr="00AE1B5E">
        <w:tc>
          <w:tcPr>
            <w:tcW w:w="2808" w:type="dxa"/>
          </w:tcPr>
          <w:p w14:paraId="544DB8B2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768" w:type="dxa"/>
          </w:tcPr>
          <w:p w14:paraId="544DB8B3" w14:textId="52BBD812" w:rsidR="00AD706B" w:rsidRPr="00631E85" w:rsidRDefault="00567147" w:rsidP="00A374B8">
            <w:pPr>
              <w:pStyle w:val="NoSpacing"/>
            </w:pPr>
            <w:r w:rsidRPr="00567147">
              <w:t>National Committee for Quality Assurance</w:t>
            </w:r>
          </w:p>
        </w:tc>
      </w:tr>
      <w:tr w:rsidR="00AD706B" w14:paraId="544DB8B7" w14:textId="77777777" w:rsidTr="00AE1B5E">
        <w:tc>
          <w:tcPr>
            <w:tcW w:w="2808" w:type="dxa"/>
          </w:tcPr>
          <w:p w14:paraId="544DB8B5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768" w:type="dxa"/>
          </w:tcPr>
          <w:p w14:paraId="544DB8B6" w14:textId="718DD424" w:rsidR="00AD706B" w:rsidRPr="00631E85" w:rsidRDefault="00FC6B2E" w:rsidP="00A374B8">
            <w:pPr>
              <w:pStyle w:val="NoSpacing"/>
            </w:pPr>
            <w:r w:rsidRPr="00FC6B2E">
              <w:t>http://www.qualitymeasures.ahrq.gov/content.aspx?id=47224</w:t>
            </w:r>
            <w:r w:rsidR="000E2910">
              <w:t xml:space="preserve"> </w:t>
            </w:r>
          </w:p>
        </w:tc>
      </w:tr>
      <w:tr w:rsidR="00AD706B" w14:paraId="544DB8BA" w14:textId="77777777" w:rsidTr="00AE1B5E">
        <w:tc>
          <w:tcPr>
            <w:tcW w:w="2808" w:type="dxa"/>
          </w:tcPr>
          <w:p w14:paraId="544DB8B8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768" w:type="dxa"/>
          </w:tcPr>
          <w:p w14:paraId="544DB8B9" w14:textId="3163DB1D" w:rsidR="00AD706B" w:rsidRDefault="00165D76" w:rsidP="00AD706B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FC6B2E" w14:paraId="544DB8BD" w14:textId="77777777" w:rsidTr="00AE1B5E">
        <w:tc>
          <w:tcPr>
            <w:tcW w:w="2808" w:type="dxa"/>
          </w:tcPr>
          <w:p w14:paraId="544DB8BB" w14:textId="691058F2" w:rsidR="00FC6B2E" w:rsidRDefault="00FC6B2E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768" w:type="dxa"/>
          </w:tcPr>
          <w:p w14:paraId="7D199AE1" w14:textId="77777777" w:rsidR="00FC6B2E" w:rsidRDefault="00FC6B2E" w:rsidP="000306A5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FC6B2E" w14:paraId="421A8431" w14:textId="77777777" w:rsidTr="000306A5">
              <w:tc>
                <w:tcPr>
                  <w:tcW w:w="1880" w:type="dxa"/>
                </w:tcPr>
                <w:p w14:paraId="5A5792DD" w14:textId="77777777" w:rsidR="00FC6B2E" w:rsidRPr="00791AAE" w:rsidRDefault="00FC6B2E" w:rsidP="000306A5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6CA9FC21" w14:textId="77777777" w:rsidR="00FC6B2E" w:rsidRPr="00791AAE" w:rsidRDefault="00FC6B2E" w:rsidP="000306A5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14:paraId="503A61A4" w14:textId="77777777" w:rsidR="00FC6B2E" w:rsidRPr="00791AAE" w:rsidRDefault="00FC6B2E" w:rsidP="000306A5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14:paraId="6AC0C0BE" w14:textId="77777777" w:rsidR="00FC6B2E" w:rsidRPr="00791AAE" w:rsidRDefault="00FC6B2E" w:rsidP="000306A5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14:paraId="7FAF3600" w14:textId="77777777" w:rsidR="00FC6B2E" w:rsidRPr="00791AAE" w:rsidRDefault="00FC6B2E" w:rsidP="000306A5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14:paraId="7FB79D4D" w14:textId="77777777" w:rsidR="00FC6B2E" w:rsidRPr="00791AAE" w:rsidRDefault="00FC6B2E" w:rsidP="000306A5">
                  <w:pPr>
                    <w:pStyle w:val="NoSpacing"/>
                    <w:jc w:val="center"/>
                  </w:pPr>
                </w:p>
              </w:tc>
            </w:tr>
            <w:tr w:rsidR="00FC6B2E" w14:paraId="2A911BA8" w14:textId="77777777" w:rsidTr="000306A5">
              <w:tc>
                <w:tcPr>
                  <w:tcW w:w="1880" w:type="dxa"/>
                  <w:vMerge w:val="restart"/>
                </w:tcPr>
                <w:p w14:paraId="0E4E10F7" w14:textId="77777777" w:rsidR="00FC6B2E" w:rsidRPr="00791AAE" w:rsidRDefault="00FC6B2E" w:rsidP="000306A5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14:paraId="63ED79F1" w14:textId="77777777" w:rsidR="00FC6B2E" w:rsidRPr="00791AAE" w:rsidRDefault="00FC6B2E" w:rsidP="000306A5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286C04D1" w14:textId="77777777" w:rsidR="00FC6B2E" w:rsidRDefault="00FC6B2E" w:rsidP="000306A5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14:paraId="53019FD7" w14:textId="77777777" w:rsidR="00FC6B2E" w:rsidRPr="00791AAE" w:rsidRDefault="00FC6B2E" w:rsidP="000306A5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14:paraId="005DD3C0" w14:textId="77777777" w:rsidR="00FC6B2E" w:rsidRPr="00791AAE" w:rsidRDefault="00FC6B2E" w:rsidP="000306A5">
                  <w:pPr>
                    <w:pStyle w:val="NoSpacing"/>
                    <w:jc w:val="center"/>
                  </w:pPr>
                  <w:r w:rsidRPr="00F2515D">
                    <w:t xml:space="preserve">MPL </w:t>
                  </w:r>
                  <w:r>
                    <w:t>+</w:t>
                  </w:r>
                  <w:r w:rsidRPr="00F2515D">
                    <w:t xml:space="preserve"> 10%* (HPL-MPL)</w:t>
                  </w:r>
                </w:p>
              </w:tc>
            </w:tr>
            <w:tr w:rsidR="00FC6B2E" w14:paraId="33AB9857" w14:textId="77777777" w:rsidTr="000306A5">
              <w:tc>
                <w:tcPr>
                  <w:tcW w:w="1880" w:type="dxa"/>
                  <w:vMerge/>
                </w:tcPr>
                <w:p w14:paraId="1BDECAA3" w14:textId="77777777" w:rsidR="00FC6B2E" w:rsidRPr="00791AAE" w:rsidRDefault="00FC6B2E" w:rsidP="000306A5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4D107F78" w14:textId="77777777" w:rsidR="00FC6B2E" w:rsidRDefault="00FC6B2E" w:rsidP="000306A5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14:paraId="0CF6F789" w14:textId="77777777" w:rsidR="00FC6B2E" w:rsidRPr="00791AAE" w:rsidRDefault="00FC6B2E" w:rsidP="000306A5">
                  <w:pPr>
                    <w:pStyle w:val="NoSpacing"/>
                    <w:jc w:val="center"/>
                  </w:pPr>
                  <w:r>
                    <w:t>B</w:t>
                  </w:r>
                  <w:r w:rsidRPr="00BD6219">
                    <w:t xml:space="preserve">aseline </w:t>
                  </w:r>
                  <w:r>
                    <w:t>+</w:t>
                  </w:r>
                  <w:r w:rsidRPr="00BD6219">
                    <w:t xml:space="preserve"> 10%*(HPL - </w:t>
                  </w:r>
                  <w:r>
                    <w:t>B</w:t>
                  </w:r>
                  <w:r w:rsidRPr="00BD6219">
                    <w:t>aseline)</w:t>
                  </w:r>
                </w:p>
              </w:tc>
              <w:tc>
                <w:tcPr>
                  <w:tcW w:w="1846" w:type="dxa"/>
                </w:tcPr>
                <w:p w14:paraId="79830D8B" w14:textId="77777777" w:rsidR="00FC6B2E" w:rsidRPr="00791AAE" w:rsidRDefault="00FC6B2E" w:rsidP="000306A5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</w:t>
                  </w:r>
                  <w:r>
                    <w:t>+</w:t>
                  </w:r>
                  <w:r w:rsidRPr="00155143">
                    <w:t xml:space="preserve">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14:paraId="544DB8BC" w14:textId="33311D19" w:rsidR="00FC6B2E" w:rsidRDefault="00FC6B2E" w:rsidP="00967948">
            <w:pPr>
              <w:pStyle w:val="NoSpacing"/>
            </w:pPr>
          </w:p>
        </w:tc>
      </w:tr>
      <w:tr w:rsidR="00FC6B2E" w14:paraId="510369DD" w14:textId="77777777" w:rsidTr="00FC6B2E">
        <w:tc>
          <w:tcPr>
            <w:tcW w:w="2808" w:type="dxa"/>
          </w:tcPr>
          <w:p w14:paraId="612D4722" w14:textId="59000B69" w:rsidR="00FC6B2E" w:rsidRDefault="00FC6B2E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768" w:type="dxa"/>
          </w:tcPr>
          <w:tbl>
            <w:tblPr>
              <w:tblStyle w:val="TableGrid"/>
              <w:tblW w:w="663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FC6B2E" w14:paraId="505EBEC7" w14:textId="77777777" w:rsidTr="000306A5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14:paraId="71C291C2" w14:textId="22C75DEA" w:rsidR="00FC6B2E" w:rsidRPr="00791AAE" w:rsidRDefault="00D03F04" w:rsidP="000306A5">
                  <w:pPr>
                    <w:pStyle w:val="NoSpacing"/>
                    <w:jc w:val="center"/>
                  </w:pPr>
                  <w:r>
                    <w:t>NCQA Quality Compass</w:t>
                  </w:r>
                </w:p>
              </w:tc>
            </w:tr>
            <w:tr w:rsidR="00FC6B2E" w14:paraId="58E39174" w14:textId="77777777" w:rsidTr="000306A5">
              <w:tc>
                <w:tcPr>
                  <w:tcW w:w="3397" w:type="dxa"/>
                </w:tcPr>
                <w:p w14:paraId="5DC9C982" w14:textId="77777777" w:rsidR="00FC6B2E" w:rsidRPr="00791AAE" w:rsidRDefault="00FC6B2E" w:rsidP="000306A5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14:paraId="51254FBA" w14:textId="77777777" w:rsidR="00FC6B2E" w:rsidRDefault="004F6B56" w:rsidP="004F6B56">
                  <w:pPr>
                    <w:pStyle w:val="NoSpacing"/>
                    <w:jc w:val="center"/>
                  </w:pPr>
                  <w:r>
                    <w:t>Advice: 81</w:t>
                  </w:r>
                  <w:r w:rsidR="00FC6B2E" w:rsidRPr="00C91245">
                    <w:t>.</w:t>
                  </w:r>
                  <w:r>
                    <w:t>36</w:t>
                  </w:r>
                  <w:r w:rsidR="00FC6B2E">
                    <w:t>%</w:t>
                  </w:r>
                </w:p>
                <w:p w14:paraId="1F7082BE" w14:textId="77777777" w:rsidR="004F6B56" w:rsidRDefault="004F6B56" w:rsidP="004F6B56">
                  <w:pPr>
                    <w:pStyle w:val="NoSpacing"/>
                    <w:jc w:val="center"/>
                  </w:pPr>
                  <w:r>
                    <w:t>Medications: 50.66%</w:t>
                  </w:r>
                </w:p>
                <w:p w14:paraId="21446BAD" w14:textId="54995AE7" w:rsidR="004F6B56" w:rsidRPr="00791AAE" w:rsidRDefault="004F6B56" w:rsidP="004F6B56">
                  <w:pPr>
                    <w:pStyle w:val="NoSpacing"/>
                    <w:jc w:val="center"/>
                  </w:pPr>
                  <w:r>
                    <w:t>Methods/Strategies: 56.62%</w:t>
                  </w:r>
                </w:p>
              </w:tc>
            </w:tr>
            <w:tr w:rsidR="00FC6B2E" w14:paraId="41A4614A" w14:textId="77777777" w:rsidTr="000306A5">
              <w:tc>
                <w:tcPr>
                  <w:tcW w:w="3397" w:type="dxa"/>
                </w:tcPr>
                <w:p w14:paraId="2D500587" w14:textId="3A5471AA" w:rsidR="00FC6B2E" w:rsidRPr="00791AAE" w:rsidRDefault="00FC6B2E" w:rsidP="000306A5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283705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14:paraId="242CFACE" w14:textId="0F059DEA" w:rsidR="004F6B56" w:rsidRDefault="004F6B56" w:rsidP="004F6B56">
                  <w:pPr>
                    <w:pStyle w:val="NoSpacing"/>
                    <w:jc w:val="center"/>
                  </w:pPr>
                  <w:r>
                    <w:t>Advice: 71</w:t>
                  </w:r>
                  <w:r w:rsidRPr="00C91245">
                    <w:t>.</w:t>
                  </w:r>
                  <w:r>
                    <w:t>43%</w:t>
                  </w:r>
                </w:p>
                <w:p w14:paraId="6C9E6402" w14:textId="1FF7204F" w:rsidR="004F6B56" w:rsidRDefault="004F6B56" w:rsidP="004F6B56">
                  <w:pPr>
                    <w:pStyle w:val="NoSpacing"/>
                    <w:jc w:val="center"/>
                  </w:pPr>
                  <w:r>
                    <w:t>Medications: 34.09%</w:t>
                  </w:r>
                </w:p>
                <w:p w14:paraId="71F0E594" w14:textId="27B4C94D" w:rsidR="00FC6B2E" w:rsidRPr="00791AAE" w:rsidRDefault="004F6B56" w:rsidP="004F6B56">
                  <w:pPr>
                    <w:pStyle w:val="NoSpacing"/>
                    <w:jc w:val="center"/>
                  </w:pPr>
                  <w:r>
                    <w:t>Methods/Strategies: 37.46%</w:t>
                  </w:r>
                </w:p>
              </w:tc>
            </w:tr>
          </w:tbl>
          <w:p w14:paraId="210ED4B8" w14:textId="77777777" w:rsidR="00FC6B2E" w:rsidRDefault="00FC6B2E" w:rsidP="00967948">
            <w:pPr>
              <w:pStyle w:val="NoSpacing"/>
            </w:pPr>
          </w:p>
        </w:tc>
      </w:tr>
      <w:tr w:rsidR="00AD706B" w14:paraId="544DB8C6" w14:textId="77777777" w:rsidTr="00AE1B5E">
        <w:tc>
          <w:tcPr>
            <w:tcW w:w="2808" w:type="dxa"/>
          </w:tcPr>
          <w:p w14:paraId="544DB8BE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DSRIP-specific modifications to Measure Steward’s specification</w:t>
            </w:r>
          </w:p>
        </w:tc>
        <w:tc>
          <w:tcPr>
            <w:tcW w:w="6768" w:type="dxa"/>
          </w:tcPr>
          <w:p w14:paraId="3F4F72C6" w14:textId="5B870ADC" w:rsidR="003258E3" w:rsidRDefault="003258E3" w:rsidP="0062694F">
            <w:pPr>
              <w:pStyle w:val="NoSpacing"/>
            </w:pPr>
            <w:r>
              <w:t>The Measure Steward’s specification has been modified as follows:</w:t>
            </w:r>
          </w:p>
          <w:p w14:paraId="6FC3874B" w14:textId="77777777" w:rsidR="003258E3" w:rsidRDefault="0062694F" w:rsidP="0062694F">
            <w:pPr>
              <w:pStyle w:val="NoSpacing"/>
              <w:numPr>
                <w:ilvl w:val="0"/>
                <w:numId w:val="12"/>
              </w:numPr>
            </w:pPr>
            <w:r>
              <w:t xml:space="preserve">Replaced term "member" with "patient" </w:t>
            </w:r>
          </w:p>
          <w:p w14:paraId="3B447CC6" w14:textId="77777777" w:rsidR="009F78A7" w:rsidRDefault="0062694F" w:rsidP="0062694F">
            <w:pPr>
              <w:pStyle w:val="NoSpacing"/>
              <w:numPr>
                <w:ilvl w:val="0"/>
                <w:numId w:val="12"/>
              </w:numPr>
            </w:pPr>
            <w:r>
              <w:t xml:space="preserve">Removed references to </w:t>
            </w:r>
            <w:r w:rsidRPr="0062694F">
              <w:t xml:space="preserve">Medicare, Medicaid, and commercial </w:t>
            </w:r>
            <w:r>
              <w:t>specifications</w:t>
            </w:r>
          </w:p>
          <w:p w14:paraId="544DB8C5" w14:textId="6EDA3AD7" w:rsidR="00644F53" w:rsidRDefault="00644F53" w:rsidP="0062694F">
            <w:pPr>
              <w:pStyle w:val="NoSpacing"/>
              <w:numPr>
                <w:ilvl w:val="0"/>
                <w:numId w:val="12"/>
              </w:numPr>
            </w:pPr>
            <w:r>
              <w:t>Clarified that measure is reported as three separate rates</w:t>
            </w:r>
          </w:p>
        </w:tc>
      </w:tr>
      <w:tr w:rsidR="00AD706B" w14:paraId="544DB8C9" w14:textId="77777777" w:rsidTr="00AE1B5E">
        <w:tc>
          <w:tcPr>
            <w:tcW w:w="2808" w:type="dxa"/>
          </w:tcPr>
          <w:p w14:paraId="544DB8C7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768" w:type="dxa"/>
          </w:tcPr>
          <w:p w14:paraId="544DB8C8" w14:textId="7B6C5626" w:rsidR="00AD706B" w:rsidRPr="009F7E66" w:rsidRDefault="00567147" w:rsidP="0031791D">
            <w:pPr>
              <w:pStyle w:val="NoSpacing"/>
            </w:pPr>
            <w:bookmarkStart w:id="0" w:name="_GoBack"/>
            <w:r w:rsidRPr="00567147">
              <w:t xml:space="preserve">The number of eligible </w:t>
            </w:r>
            <w:r w:rsidR="006D373A">
              <w:t>patient</w:t>
            </w:r>
            <w:r w:rsidR="00B147B3">
              <w:t>s</w:t>
            </w:r>
            <w:r w:rsidR="00B147B3" w:rsidRPr="00567147">
              <w:t xml:space="preserve"> </w:t>
            </w:r>
            <w:r w:rsidRPr="00567147">
              <w:t>who responded to the survey and indicated that they were current smokers or tobacco users</w:t>
            </w:r>
            <w:bookmarkEnd w:id="0"/>
          </w:p>
        </w:tc>
      </w:tr>
      <w:tr w:rsidR="00787D45" w14:paraId="544DB8CC" w14:textId="77777777" w:rsidTr="00AE1B5E">
        <w:trPr>
          <w:trHeight w:val="728"/>
        </w:trPr>
        <w:tc>
          <w:tcPr>
            <w:tcW w:w="2808" w:type="dxa"/>
          </w:tcPr>
          <w:p w14:paraId="544DB8CA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768" w:type="dxa"/>
          </w:tcPr>
          <w:p w14:paraId="15CC2B12" w14:textId="271677D0" w:rsidR="00567147" w:rsidRDefault="00567147" w:rsidP="00567147">
            <w:pPr>
              <w:pStyle w:val="NoSpacing"/>
            </w:pPr>
            <w:r>
              <w:t xml:space="preserve">The number of eligible* </w:t>
            </w:r>
            <w:r w:rsidR="006D373A">
              <w:t>patient</w:t>
            </w:r>
            <w:r w:rsidR="00B147B3">
              <w:t xml:space="preserve">s </w:t>
            </w:r>
            <w:r>
              <w:t xml:space="preserve">who responded to the survey and indicated that they were current smokers or tobacco users and had one or more visits during the measurement </w:t>
            </w:r>
            <w:r w:rsidR="009C3368">
              <w:t>period</w:t>
            </w:r>
          </w:p>
          <w:p w14:paraId="549D1F9D" w14:textId="77777777" w:rsidR="00567147" w:rsidRDefault="00567147" w:rsidP="00567147">
            <w:pPr>
              <w:pStyle w:val="NoSpacing"/>
            </w:pPr>
          </w:p>
          <w:p w14:paraId="2D6C3B22" w14:textId="06B3538F" w:rsidR="009C3368" w:rsidRDefault="00567147" w:rsidP="00567147">
            <w:pPr>
              <w:pStyle w:val="NoSpacing"/>
            </w:pPr>
            <w:r>
              <w:t xml:space="preserve">*Eligible Population: </w:t>
            </w:r>
            <w:r w:rsidR="006D373A">
              <w:t>Patient</w:t>
            </w:r>
            <w:r w:rsidR="00B147B3">
              <w:t xml:space="preserve">s </w:t>
            </w:r>
            <w:r>
              <w:t xml:space="preserve">age 18 years and older as of </w:t>
            </w:r>
            <w:r w:rsidR="009C3368">
              <w:t>the last day</w:t>
            </w:r>
            <w:r>
              <w:t xml:space="preserve"> of the measurement </w:t>
            </w:r>
            <w:r w:rsidR="009C3368">
              <w:t xml:space="preserve">period and </w:t>
            </w:r>
            <w:r>
              <w:t>who</w:t>
            </w:r>
            <w:r w:rsidR="009C3368">
              <w:t xml:space="preserve"> had at least one (1) outpatient encounter in the prior 12-month period. </w:t>
            </w:r>
            <w:r>
              <w:t xml:space="preserve"> </w:t>
            </w:r>
          </w:p>
          <w:p w14:paraId="544DB8CB" w14:textId="26256BD6" w:rsidR="00787D45" w:rsidRPr="0012650D" w:rsidRDefault="00787D45" w:rsidP="00B147B3">
            <w:pPr>
              <w:pStyle w:val="NoSpacing"/>
              <w:rPr>
                <w:b/>
              </w:rPr>
            </w:pPr>
          </w:p>
        </w:tc>
      </w:tr>
      <w:tr w:rsidR="00787D45" w14:paraId="544DB8CF" w14:textId="77777777" w:rsidTr="00AE1B5E">
        <w:trPr>
          <w:trHeight w:val="710"/>
        </w:trPr>
        <w:tc>
          <w:tcPr>
            <w:tcW w:w="2808" w:type="dxa"/>
          </w:tcPr>
          <w:p w14:paraId="544DB8CD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768" w:type="dxa"/>
          </w:tcPr>
          <w:p w14:paraId="544DB8CE" w14:textId="4A7932AF" w:rsidR="00787D45" w:rsidRPr="001D6BEA" w:rsidRDefault="00787D45" w:rsidP="002F15E3">
            <w:pPr>
              <w:pStyle w:val="NoSpacing"/>
            </w:pPr>
            <w:r>
              <w:t>The Measure Steward does not identify specific denominator exclusions beyond what is described i</w:t>
            </w:r>
            <w:r w:rsidR="00567147">
              <w:t>n the denominator description.</w:t>
            </w:r>
          </w:p>
        </w:tc>
      </w:tr>
      <w:tr w:rsidR="00D63CD3" w14:paraId="544DB8D5" w14:textId="77777777" w:rsidTr="00AE1B5E">
        <w:tc>
          <w:tcPr>
            <w:tcW w:w="2808" w:type="dxa"/>
          </w:tcPr>
          <w:p w14:paraId="544DB8D0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768" w:type="dxa"/>
          </w:tcPr>
          <w:p w14:paraId="544DB8D1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544DB8D2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544DB8D3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544DB8D4" w14:textId="7A3DA56F" w:rsidR="0032246B" w:rsidRPr="001D6BEA" w:rsidRDefault="0032246B" w:rsidP="00644F53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644F53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544DB8D8" w14:textId="77777777" w:rsidTr="00AE1B5E">
        <w:tc>
          <w:tcPr>
            <w:tcW w:w="2808" w:type="dxa"/>
          </w:tcPr>
          <w:p w14:paraId="544DB8D6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768" w:type="dxa"/>
          </w:tcPr>
          <w:p w14:paraId="544DB8D7" w14:textId="04A6A7AB" w:rsidR="00AC3A97" w:rsidRPr="009F7E66" w:rsidRDefault="00567147" w:rsidP="00B147B3">
            <w:pPr>
              <w:pStyle w:val="NoSpacing"/>
            </w:pPr>
            <w:r w:rsidRPr="00567147">
              <w:t xml:space="preserve">The number of </w:t>
            </w:r>
            <w:r w:rsidR="006D373A">
              <w:t>patient</w:t>
            </w:r>
            <w:r w:rsidR="00B147B3" w:rsidRPr="00567147">
              <w:t xml:space="preserve">s </w:t>
            </w:r>
            <w:r w:rsidRPr="00567147">
              <w:t>in the denominator who indicated that they had received advice to quit from a doctor or other health provider (see the related "Numerator Inclusions/Exclusions" field)</w:t>
            </w:r>
          </w:p>
        </w:tc>
      </w:tr>
      <w:tr w:rsidR="00787D45" w14:paraId="544DB8DB" w14:textId="77777777" w:rsidTr="00AE1B5E">
        <w:tc>
          <w:tcPr>
            <w:tcW w:w="2808" w:type="dxa"/>
          </w:tcPr>
          <w:p w14:paraId="544DB8D9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768" w:type="dxa"/>
          </w:tcPr>
          <w:p w14:paraId="3432E7EA" w14:textId="087B0412" w:rsidR="00567147" w:rsidRDefault="00567147" w:rsidP="00567147">
            <w:pPr>
              <w:pStyle w:val="NoSpacing"/>
            </w:pPr>
            <w:r>
              <w:t xml:space="preserve">The number of </w:t>
            </w:r>
            <w:r w:rsidR="006D373A">
              <w:t>patient</w:t>
            </w:r>
            <w:r w:rsidR="00B147B3">
              <w:t xml:space="preserve">s </w:t>
            </w:r>
            <w:r>
              <w:t>in the denominator who indicated that they had received advice to quit from a doctor or other health provider</w:t>
            </w:r>
            <w:r w:rsidR="00644F53">
              <w:t>, reported as three separate rates.</w:t>
            </w:r>
          </w:p>
          <w:p w14:paraId="00B9FB19" w14:textId="77777777" w:rsidR="00644F53" w:rsidRDefault="00644F53" w:rsidP="00644F53">
            <w:pPr>
              <w:pStyle w:val="NoSpacing"/>
              <w:numPr>
                <w:ilvl w:val="0"/>
                <w:numId w:val="13"/>
              </w:numPr>
            </w:pPr>
            <w:r>
              <w:t>Advising to Quit</w:t>
            </w:r>
          </w:p>
          <w:p w14:paraId="524F4E17" w14:textId="7E36121C" w:rsidR="00644F53" w:rsidRDefault="00644F53" w:rsidP="00644F53">
            <w:pPr>
              <w:pStyle w:val="NoSpacing"/>
              <w:numPr>
                <w:ilvl w:val="0"/>
                <w:numId w:val="13"/>
              </w:numPr>
            </w:pPr>
            <w:r>
              <w:t>Discussing Strategies</w:t>
            </w:r>
          </w:p>
          <w:p w14:paraId="167FBBA7" w14:textId="7B61A7B1" w:rsidR="00644F53" w:rsidRDefault="00644F53" w:rsidP="00644F53">
            <w:pPr>
              <w:pStyle w:val="NoSpacing"/>
              <w:numPr>
                <w:ilvl w:val="0"/>
                <w:numId w:val="13"/>
              </w:numPr>
            </w:pPr>
            <w:r>
              <w:lastRenderedPageBreak/>
              <w:t>Discussing Medications</w:t>
            </w:r>
          </w:p>
          <w:p w14:paraId="1FF7C13E" w14:textId="77777777" w:rsidR="00567147" w:rsidRDefault="00567147" w:rsidP="00567147">
            <w:pPr>
              <w:pStyle w:val="NoSpacing"/>
            </w:pPr>
          </w:p>
          <w:p w14:paraId="544DB8DA" w14:textId="7EBD3B11" w:rsidR="00787D45" w:rsidRPr="0012650D" w:rsidRDefault="00567147" w:rsidP="00567147">
            <w:pPr>
              <w:pStyle w:val="NoSpacing"/>
              <w:rPr>
                <w:b/>
              </w:rPr>
            </w:pPr>
            <w:r>
              <w:t>Note: Refer to the original measure documentation for information regarding survey questions.</w:t>
            </w:r>
          </w:p>
        </w:tc>
      </w:tr>
      <w:tr w:rsidR="00787D45" w14:paraId="544DB8DE" w14:textId="77777777" w:rsidTr="00AE1B5E">
        <w:tc>
          <w:tcPr>
            <w:tcW w:w="2808" w:type="dxa"/>
          </w:tcPr>
          <w:p w14:paraId="544DB8DC" w14:textId="3D4EB655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Numerator Exclusions</w:t>
            </w:r>
          </w:p>
        </w:tc>
        <w:tc>
          <w:tcPr>
            <w:tcW w:w="6768" w:type="dxa"/>
          </w:tcPr>
          <w:p w14:paraId="544DB8DD" w14:textId="7739CFF5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567147">
              <w:t xml:space="preserve"> in the numerator description.</w:t>
            </w:r>
          </w:p>
        </w:tc>
      </w:tr>
      <w:tr w:rsidR="00AD706B" w14:paraId="544DB8E1" w14:textId="77777777" w:rsidTr="00AE1B5E">
        <w:tc>
          <w:tcPr>
            <w:tcW w:w="2808" w:type="dxa"/>
          </w:tcPr>
          <w:p w14:paraId="544DB8DF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768" w:type="dxa"/>
          </w:tcPr>
          <w:p w14:paraId="544DB8E0" w14:textId="6856A05E" w:rsidR="00AD706B" w:rsidRDefault="00AD706B" w:rsidP="00CD7069">
            <w:pPr>
              <w:pStyle w:val="NoSpacing"/>
            </w:pPr>
            <w:r>
              <w:t>Ambulatory</w:t>
            </w:r>
          </w:p>
        </w:tc>
      </w:tr>
      <w:tr w:rsidR="00AD706B" w14:paraId="544DB8E4" w14:textId="77777777" w:rsidTr="00AE1B5E">
        <w:tc>
          <w:tcPr>
            <w:tcW w:w="2808" w:type="dxa"/>
          </w:tcPr>
          <w:p w14:paraId="544DB8E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768" w:type="dxa"/>
          </w:tcPr>
          <w:p w14:paraId="4CCEF651" w14:textId="5D8BDB5F" w:rsidR="00567147" w:rsidRDefault="00567147" w:rsidP="00567147">
            <w:pPr>
              <w:pStyle w:val="NoSpacing"/>
            </w:pPr>
            <w:r>
              <w:t xml:space="preserve">Administrative </w:t>
            </w:r>
            <w:r w:rsidR="00644F53">
              <w:t xml:space="preserve">or </w:t>
            </w:r>
            <w:r>
              <w:t>clinical data</w:t>
            </w:r>
          </w:p>
          <w:p w14:paraId="544DB8E3" w14:textId="3ACC6156" w:rsidR="00AD706B" w:rsidRDefault="00567147" w:rsidP="00567147">
            <w:pPr>
              <w:pStyle w:val="NoSpacing"/>
            </w:pPr>
            <w:r>
              <w:t>Patient/Individual survey</w:t>
            </w:r>
          </w:p>
        </w:tc>
      </w:tr>
      <w:tr w:rsidR="00404980" w14:paraId="544DB903" w14:textId="77777777" w:rsidTr="00AE1B5E">
        <w:tc>
          <w:tcPr>
            <w:tcW w:w="2808" w:type="dxa"/>
          </w:tcPr>
          <w:p w14:paraId="544DB8E5" w14:textId="6C6B2450" w:rsidR="00404980" w:rsidRPr="00717546" w:rsidRDefault="00404980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768" w:type="dxa"/>
          </w:tcPr>
          <w:p w14:paraId="5C97273E" w14:textId="77777777" w:rsidR="00404980" w:rsidRDefault="00404980" w:rsidP="000306A5">
            <w:pPr>
              <w:pStyle w:val="NoSpacing"/>
            </w:pPr>
            <w:r>
              <w:t>All denominator subsets are permissible for this outcome</w:t>
            </w:r>
          </w:p>
          <w:p w14:paraId="544DB902" w14:textId="66E2C203" w:rsidR="00404980" w:rsidRDefault="00404980" w:rsidP="007F7C07">
            <w:pPr>
              <w:pStyle w:val="NoSpacing"/>
            </w:pPr>
            <w:r>
              <w:t> </w:t>
            </w:r>
          </w:p>
        </w:tc>
      </w:tr>
    </w:tbl>
    <w:p w14:paraId="544DB94D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DB950" w14:textId="77777777" w:rsidR="00B7257A" w:rsidRDefault="00B7257A" w:rsidP="00F63191">
      <w:pPr>
        <w:spacing w:after="0" w:line="240" w:lineRule="auto"/>
      </w:pPr>
      <w:r>
        <w:separator/>
      </w:r>
    </w:p>
  </w:endnote>
  <w:endnote w:type="continuationSeparator" w:id="0">
    <w:p w14:paraId="544DB951" w14:textId="77777777" w:rsidR="00B7257A" w:rsidRDefault="00B7257A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A41A" w14:textId="38A8E220" w:rsidR="00D74671" w:rsidRDefault="00D74671">
    <w:pPr>
      <w:pStyle w:val="Footer"/>
    </w:pPr>
    <w:r>
      <w:t>09/</w:t>
    </w:r>
    <w:r w:rsidR="00D03F04">
      <w:t>24</w:t>
    </w:r>
    <w:r>
      <w:t>/14</w:t>
    </w:r>
  </w:p>
  <w:p w14:paraId="544DB954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DB94E" w14:textId="77777777" w:rsidR="00B7257A" w:rsidRDefault="00B7257A" w:rsidP="00F63191">
      <w:pPr>
        <w:spacing w:after="0" w:line="240" w:lineRule="auto"/>
      </w:pPr>
      <w:r>
        <w:separator/>
      </w:r>
    </w:p>
  </w:footnote>
  <w:footnote w:type="continuationSeparator" w:id="0">
    <w:p w14:paraId="544DB94F" w14:textId="77777777" w:rsidR="00B7257A" w:rsidRDefault="00B7257A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DB952" w14:textId="61FBFD42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477A"/>
    <w:multiLevelType w:val="hybridMultilevel"/>
    <w:tmpl w:val="CDA0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5F26"/>
    <w:multiLevelType w:val="hybridMultilevel"/>
    <w:tmpl w:val="096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005C4"/>
    <w:multiLevelType w:val="hybridMultilevel"/>
    <w:tmpl w:val="B9F0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255CA"/>
    <w:multiLevelType w:val="multilevel"/>
    <w:tmpl w:val="D54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C575F"/>
    <w:rsid w:val="000D1199"/>
    <w:rsid w:val="000D5A2D"/>
    <w:rsid w:val="000E2910"/>
    <w:rsid w:val="000E7EED"/>
    <w:rsid w:val="00100A2F"/>
    <w:rsid w:val="00107C1A"/>
    <w:rsid w:val="0011709A"/>
    <w:rsid w:val="00164CF9"/>
    <w:rsid w:val="00165D76"/>
    <w:rsid w:val="001827D4"/>
    <w:rsid w:val="001D6BEA"/>
    <w:rsid w:val="001E4AE0"/>
    <w:rsid w:val="002224F0"/>
    <w:rsid w:val="00245754"/>
    <w:rsid w:val="002640DD"/>
    <w:rsid w:val="00271E53"/>
    <w:rsid w:val="002845C2"/>
    <w:rsid w:val="002E14AF"/>
    <w:rsid w:val="0031791D"/>
    <w:rsid w:val="0032246B"/>
    <w:rsid w:val="003258E3"/>
    <w:rsid w:val="00346B8D"/>
    <w:rsid w:val="00356CF4"/>
    <w:rsid w:val="00366D0B"/>
    <w:rsid w:val="00375652"/>
    <w:rsid w:val="00383516"/>
    <w:rsid w:val="003844DB"/>
    <w:rsid w:val="003A409E"/>
    <w:rsid w:val="003F4E8D"/>
    <w:rsid w:val="00404980"/>
    <w:rsid w:val="00416E44"/>
    <w:rsid w:val="004F6B56"/>
    <w:rsid w:val="00502BE4"/>
    <w:rsid w:val="00506BC5"/>
    <w:rsid w:val="00536799"/>
    <w:rsid w:val="00567147"/>
    <w:rsid w:val="005802A0"/>
    <w:rsid w:val="005857E6"/>
    <w:rsid w:val="005B79DD"/>
    <w:rsid w:val="005C70A1"/>
    <w:rsid w:val="005F4D43"/>
    <w:rsid w:val="0062694F"/>
    <w:rsid w:val="00644F53"/>
    <w:rsid w:val="006D373A"/>
    <w:rsid w:val="007164C7"/>
    <w:rsid w:val="00743628"/>
    <w:rsid w:val="00760D27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A5405"/>
    <w:rsid w:val="008D1A8E"/>
    <w:rsid w:val="008D450D"/>
    <w:rsid w:val="008F0411"/>
    <w:rsid w:val="008F249E"/>
    <w:rsid w:val="00950024"/>
    <w:rsid w:val="00965A2A"/>
    <w:rsid w:val="00967948"/>
    <w:rsid w:val="00994A41"/>
    <w:rsid w:val="00996DD5"/>
    <w:rsid w:val="009C3368"/>
    <w:rsid w:val="009C6EA3"/>
    <w:rsid w:val="009F04D0"/>
    <w:rsid w:val="009F78A7"/>
    <w:rsid w:val="009F7E66"/>
    <w:rsid w:val="00A11BD9"/>
    <w:rsid w:val="00A82574"/>
    <w:rsid w:val="00AC3A97"/>
    <w:rsid w:val="00AD706B"/>
    <w:rsid w:val="00AE1B5E"/>
    <w:rsid w:val="00AF3A3D"/>
    <w:rsid w:val="00B05CBF"/>
    <w:rsid w:val="00B147B3"/>
    <w:rsid w:val="00B20462"/>
    <w:rsid w:val="00B546CF"/>
    <w:rsid w:val="00B65D92"/>
    <w:rsid w:val="00B7257A"/>
    <w:rsid w:val="00BA61F1"/>
    <w:rsid w:val="00BC4643"/>
    <w:rsid w:val="00C01E6F"/>
    <w:rsid w:val="00C86C48"/>
    <w:rsid w:val="00C9758A"/>
    <w:rsid w:val="00CA2D3E"/>
    <w:rsid w:val="00CA4C08"/>
    <w:rsid w:val="00CC28BC"/>
    <w:rsid w:val="00CD7069"/>
    <w:rsid w:val="00D03F04"/>
    <w:rsid w:val="00D1777E"/>
    <w:rsid w:val="00D2665E"/>
    <w:rsid w:val="00D63CD3"/>
    <w:rsid w:val="00D74671"/>
    <w:rsid w:val="00DB7651"/>
    <w:rsid w:val="00DE660A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B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measures.ahrq.gov/content.aspx?id=3937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AE7C9-7101-42CD-88BE-5553C10A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2014-09-24T14:49:00Z</dcterms:created>
  <dcterms:modified xsi:type="dcterms:W3CDTF">2014-09-29T19:45:00Z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