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E61F4" w14:textId="77777777" w:rsidR="00AD706B" w:rsidRDefault="00AD706B" w:rsidP="00AD706B">
      <w:pPr>
        <w:pStyle w:val="Heading1"/>
      </w:pPr>
      <w:r>
        <w:t>IT-</w:t>
      </w:r>
      <w:r w:rsidR="00527830">
        <w:t>1.2</w:t>
      </w:r>
      <w:r w:rsidR="002C2A07">
        <w:t>: Annual Monitoring for Patients on Persistent Medications</w:t>
      </w:r>
    </w:p>
    <w:tbl>
      <w:tblPr>
        <w:tblStyle w:val="TableGrid"/>
        <w:tblW w:w="0" w:type="auto"/>
        <w:tblLayout w:type="fixed"/>
        <w:tblLook w:val="04A0" w:firstRow="1" w:lastRow="0" w:firstColumn="1" w:lastColumn="0" w:noHBand="0" w:noVBand="1"/>
      </w:tblPr>
      <w:tblGrid>
        <w:gridCol w:w="2718"/>
        <w:gridCol w:w="6858"/>
      </w:tblGrid>
      <w:tr w:rsidR="00AD706B" w14:paraId="54CE61F7" w14:textId="77777777" w:rsidTr="00625C2C">
        <w:trPr>
          <w:tblHeader/>
        </w:trPr>
        <w:tc>
          <w:tcPr>
            <w:tcW w:w="2718" w:type="dxa"/>
            <w:shd w:val="clear" w:color="auto" w:fill="F2F2F2" w:themeFill="background1" w:themeFillShade="F2"/>
          </w:tcPr>
          <w:p w14:paraId="54CE61F5" w14:textId="77777777" w:rsidR="00AD706B" w:rsidRPr="00717546" w:rsidRDefault="00AD706B" w:rsidP="00A374B8">
            <w:pPr>
              <w:pStyle w:val="NoSpacing"/>
              <w:rPr>
                <w:b/>
              </w:rPr>
            </w:pPr>
            <w:r w:rsidRPr="00717546">
              <w:rPr>
                <w:b/>
              </w:rPr>
              <w:t>Measure Title</w:t>
            </w:r>
          </w:p>
        </w:tc>
        <w:tc>
          <w:tcPr>
            <w:tcW w:w="6858" w:type="dxa"/>
            <w:shd w:val="clear" w:color="auto" w:fill="F2F2F2" w:themeFill="background1" w:themeFillShade="F2"/>
          </w:tcPr>
          <w:p w14:paraId="54CE61F6" w14:textId="4E748A55" w:rsidR="00AD706B" w:rsidRDefault="005F7BE8" w:rsidP="00527830">
            <w:pPr>
              <w:pStyle w:val="NoSpacing"/>
            </w:pPr>
            <w:r w:rsidRPr="00625C2C">
              <w:rPr>
                <w:b/>
              </w:rPr>
              <w:t>IT-1.2:</w:t>
            </w:r>
            <w:r>
              <w:t xml:space="preserve"> </w:t>
            </w:r>
            <w:r w:rsidR="00527830" w:rsidRPr="00625C2C">
              <w:rPr>
                <w:b/>
              </w:rPr>
              <w:t>Annual monitoring for patients on persistent medications - Angiotensin Converting Enzyme (ACE) inhibitors or Angiotensin Receptor Blockers (ARBs)</w:t>
            </w:r>
            <w:r w:rsidR="00AD706B">
              <w:t xml:space="preserve"> </w:t>
            </w:r>
          </w:p>
        </w:tc>
      </w:tr>
      <w:tr w:rsidR="00AD706B" w14:paraId="54CE61FA" w14:textId="77777777" w:rsidTr="00625C2C">
        <w:tc>
          <w:tcPr>
            <w:tcW w:w="2718" w:type="dxa"/>
          </w:tcPr>
          <w:p w14:paraId="54CE61F8" w14:textId="77777777" w:rsidR="00AD706B" w:rsidRPr="00717546" w:rsidRDefault="00AD706B" w:rsidP="00A374B8">
            <w:pPr>
              <w:pStyle w:val="NoSpacing"/>
              <w:rPr>
                <w:b/>
              </w:rPr>
            </w:pPr>
            <w:r w:rsidRPr="00717546">
              <w:rPr>
                <w:b/>
              </w:rPr>
              <w:t>Description</w:t>
            </w:r>
          </w:p>
        </w:tc>
        <w:tc>
          <w:tcPr>
            <w:tcW w:w="6858" w:type="dxa"/>
          </w:tcPr>
          <w:p w14:paraId="54CE61F9" w14:textId="56194CAC" w:rsidR="00AD706B" w:rsidRDefault="002C2A07" w:rsidP="00C968DB">
            <w:pPr>
              <w:pStyle w:val="NoSpacing"/>
            </w:pPr>
            <w:r>
              <w:t>T</w:t>
            </w:r>
            <w:r w:rsidRPr="002C2A07">
              <w:t xml:space="preserve">he percentage of </w:t>
            </w:r>
            <w:r w:rsidR="00C968DB">
              <w:t>patients</w:t>
            </w:r>
            <w:r w:rsidR="00C968DB" w:rsidRPr="002C2A07">
              <w:t xml:space="preserve"> </w:t>
            </w:r>
            <w:r w:rsidRPr="002C2A07">
              <w:t>18 years of age and older who received at least 180 treatment days of angiotensin converting enzyme (ACE) inhibitors or angiotensin receptor blockers (ARBs) during the measurement year and had at least one serum potassium and either a serum creatinine or a blood urea nitrogen therapeutic monitoring test in the measurement year.</w:t>
            </w:r>
          </w:p>
        </w:tc>
      </w:tr>
      <w:tr w:rsidR="00AD706B" w14:paraId="54CE61FD" w14:textId="77777777" w:rsidTr="00625C2C">
        <w:tc>
          <w:tcPr>
            <w:tcW w:w="2718" w:type="dxa"/>
          </w:tcPr>
          <w:p w14:paraId="54CE61FB" w14:textId="77777777" w:rsidR="00AD706B" w:rsidRPr="00717546" w:rsidRDefault="00AD706B" w:rsidP="00A374B8">
            <w:pPr>
              <w:pStyle w:val="NoSpacing"/>
              <w:rPr>
                <w:b/>
              </w:rPr>
            </w:pPr>
            <w:r w:rsidRPr="00717546">
              <w:rPr>
                <w:b/>
              </w:rPr>
              <w:t>NQF Number</w:t>
            </w:r>
          </w:p>
        </w:tc>
        <w:tc>
          <w:tcPr>
            <w:tcW w:w="6858" w:type="dxa"/>
          </w:tcPr>
          <w:p w14:paraId="54CE61FC" w14:textId="77777777" w:rsidR="00AD706B" w:rsidRDefault="002C2A07" w:rsidP="00B05CBF">
            <w:pPr>
              <w:pStyle w:val="NoSpacing"/>
            </w:pPr>
            <w:r>
              <w:t>Not applicable</w:t>
            </w:r>
          </w:p>
        </w:tc>
      </w:tr>
      <w:tr w:rsidR="00AD706B" w14:paraId="54CE6200" w14:textId="77777777" w:rsidTr="00625C2C">
        <w:tc>
          <w:tcPr>
            <w:tcW w:w="2718" w:type="dxa"/>
          </w:tcPr>
          <w:p w14:paraId="54CE61FE" w14:textId="77777777" w:rsidR="00AD706B" w:rsidRPr="00717546" w:rsidRDefault="00AD706B" w:rsidP="00A374B8">
            <w:pPr>
              <w:pStyle w:val="NoSpacing"/>
              <w:rPr>
                <w:b/>
              </w:rPr>
            </w:pPr>
            <w:r>
              <w:rPr>
                <w:b/>
              </w:rPr>
              <w:t>Measure Steward</w:t>
            </w:r>
          </w:p>
        </w:tc>
        <w:tc>
          <w:tcPr>
            <w:tcW w:w="6858" w:type="dxa"/>
          </w:tcPr>
          <w:p w14:paraId="54CE61FF" w14:textId="77777777" w:rsidR="00AD706B" w:rsidRPr="00631E85" w:rsidRDefault="002C2A07" w:rsidP="00A374B8">
            <w:pPr>
              <w:pStyle w:val="NoSpacing"/>
            </w:pPr>
            <w:r w:rsidRPr="002C2A07">
              <w:t>National Committee for Quality Assurance (NCQA)</w:t>
            </w:r>
          </w:p>
        </w:tc>
      </w:tr>
      <w:tr w:rsidR="00AD706B" w14:paraId="54CE6203" w14:textId="77777777" w:rsidTr="00625C2C">
        <w:tc>
          <w:tcPr>
            <w:tcW w:w="2718" w:type="dxa"/>
          </w:tcPr>
          <w:p w14:paraId="54CE6201" w14:textId="77777777" w:rsidR="00AD706B" w:rsidRDefault="00AD706B" w:rsidP="00A374B8">
            <w:pPr>
              <w:pStyle w:val="NoSpacing"/>
              <w:rPr>
                <w:b/>
              </w:rPr>
            </w:pPr>
            <w:r>
              <w:rPr>
                <w:b/>
              </w:rPr>
              <w:t>Link to measure citation</w:t>
            </w:r>
          </w:p>
        </w:tc>
        <w:tc>
          <w:tcPr>
            <w:tcW w:w="6858" w:type="dxa"/>
          </w:tcPr>
          <w:p w14:paraId="54CE6202" w14:textId="0C018292" w:rsidR="00AD706B" w:rsidRPr="00631E85" w:rsidRDefault="005F7BE8" w:rsidP="002C2A07">
            <w:pPr>
              <w:pStyle w:val="NoSpacing"/>
            </w:pPr>
            <w:r w:rsidRPr="005F7BE8">
              <w:t>http://www.qualitymeasures.ahrq.gov/content.aspx?id=47201</w:t>
            </w:r>
          </w:p>
        </w:tc>
      </w:tr>
      <w:tr w:rsidR="00AD706B" w14:paraId="54CE6206" w14:textId="77777777" w:rsidTr="00625C2C">
        <w:tc>
          <w:tcPr>
            <w:tcW w:w="2718" w:type="dxa"/>
          </w:tcPr>
          <w:p w14:paraId="54CE6204" w14:textId="77777777" w:rsidR="00AD706B" w:rsidRDefault="00AD706B" w:rsidP="00A374B8">
            <w:pPr>
              <w:pStyle w:val="NoSpacing"/>
              <w:rPr>
                <w:b/>
              </w:rPr>
            </w:pPr>
            <w:r>
              <w:rPr>
                <w:b/>
              </w:rPr>
              <w:t>Measure type</w:t>
            </w:r>
          </w:p>
        </w:tc>
        <w:tc>
          <w:tcPr>
            <w:tcW w:w="6858" w:type="dxa"/>
          </w:tcPr>
          <w:p w14:paraId="54CE6205" w14:textId="77777777" w:rsidR="00AD706B" w:rsidRDefault="002C2A07" w:rsidP="00AD706B">
            <w:pPr>
              <w:pStyle w:val="NoSpacing"/>
            </w:pPr>
            <w:r w:rsidRPr="002C2A07">
              <w:t>Non Stand-Alone (NSA)</w:t>
            </w:r>
          </w:p>
        </w:tc>
      </w:tr>
      <w:tr w:rsidR="00AD706B" w14:paraId="54CE6209" w14:textId="77777777" w:rsidTr="00625C2C">
        <w:tc>
          <w:tcPr>
            <w:tcW w:w="2718" w:type="dxa"/>
          </w:tcPr>
          <w:p w14:paraId="54CE6207" w14:textId="6B7D0C14" w:rsidR="00AD706B" w:rsidRDefault="004A4CEB" w:rsidP="00A374B8">
            <w:pPr>
              <w:pStyle w:val="NoSpacing"/>
              <w:rPr>
                <w:b/>
              </w:rPr>
            </w:pPr>
            <w:r>
              <w:rPr>
                <w:b/>
              </w:rPr>
              <w:t>Performance and Achievement Type</w:t>
            </w:r>
          </w:p>
        </w:tc>
        <w:tc>
          <w:tcPr>
            <w:tcW w:w="6858" w:type="dxa"/>
          </w:tcPr>
          <w:p w14:paraId="081645DC" w14:textId="7C4835A5" w:rsidR="00AD706B" w:rsidRDefault="002C2A07" w:rsidP="00967948">
            <w:pPr>
              <w:pStyle w:val="NoSpacing"/>
            </w:pPr>
            <w:r>
              <w:t>P</w:t>
            </w:r>
            <w:r w:rsidR="004A4CEB">
              <w:t>ay for Performance (P</w:t>
            </w:r>
            <w:r>
              <w:t>4P</w:t>
            </w:r>
            <w:r w:rsidR="004A4CEB">
              <w:t>)</w:t>
            </w:r>
            <w:r w:rsidR="00791AAE">
              <w:t xml:space="preserve"> - QSMIC</w:t>
            </w:r>
          </w:p>
          <w:tbl>
            <w:tblPr>
              <w:tblStyle w:val="TableGrid"/>
              <w:tblW w:w="0" w:type="auto"/>
              <w:tblLayout w:type="fixed"/>
              <w:tblLook w:val="04A0" w:firstRow="1" w:lastRow="0" w:firstColumn="1" w:lastColumn="0" w:noHBand="0" w:noVBand="1"/>
            </w:tblPr>
            <w:tblGrid>
              <w:gridCol w:w="1880"/>
              <w:gridCol w:w="1060"/>
              <w:gridCol w:w="1846"/>
              <w:gridCol w:w="1846"/>
            </w:tblGrid>
            <w:tr w:rsidR="00F2515D" w14:paraId="586D542E" w14:textId="77777777" w:rsidTr="00625C2C">
              <w:tc>
                <w:tcPr>
                  <w:tcW w:w="1880" w:type="dxa"/>
                </w:tcPr>
                <w:p w14:paraId="406B506B" w14:textId="77777777" w:rsidR="00F2515D" w:rsidRPr="00791AAE" w:rsidRDefault="00F2515D" w:rsidP="00625C2C">
                  <w:pPr>
                    <w:pStyle w:val="NoSpacing"/>
                    <w:jc w:val="center"/>
                  </w:pPr>
                </w:p>
              </w:tc>
              <w:tc>
                <w:tcPr>
                  <w:tcW w:w="1060" w:type="dxa"/>
                </w:tcPr>
                <w:p w14:paraId="668B75DF" w14:textId="30B7C200" w:rsidR="00F2515D" w:rsidRPr="00791AAE" w:rsidRDefault="00F2515D">
                  <w:pPr>
                    <w:pStyle w:val="NoSpacing"/>
                    <w:jc w:val="center"/>
                  </w:pPr>
                  <w:r>
                    <w:t>Baseline</w:t>
                  </w:r>
                </w:p>
              </w:tc>
              <w:tc>
                <w:tcPr>
                  <w:tcW w:w="1846" w:type="dxa"/>
                </w:tcPr>
                <w:p w14:paraId="0ADF074A" w14:textId="5C8146F1" w:rsidR="00F2515D" w:rsidRPr="00791AAE" w:rsidRDefault="00F2515D" w:rsidP="00625C2C">
                  <w:pPr>
                    <w:pStyle w:val="NoSpacing"/>
                    <w:jc w:val="center"/>
                  </w:pPr>
                  <w:r w:rsidRPr="00791AAE">
                    <w:t>DY4</w:t>
                  </w:r>
                </w:p>
                <w:p w14:paraId="6FF8FAA6" w14:textId="793EF8AB" w:rsidR="00F2515D" w:rsidRPr="00791AAE" w:rsidRDefault="00F2515D" w:rsidP="00625C2C">
                  <w:pPr>
                    <w:pStyle w:val="NoSpacing"/>
                    <w:jc w:val="center"/>
                  </w:pPr>
                </w:p>
              </w:tc>
              <w:tc>
                <w:tcPr>
                  <w:tcW w:w="1846" w:type="dxa"/>
                </w:tcPr>
                <w:p w14:paraId="67B45D0E" w14:textId="77777777" w:rsidR="00F2515D" w:rsidRPr="00791AAE" w:rsidRDefault="00F2515D" w:rsidP="00625C2C">
                  <w:pPr>
                    <w:pStyle w:val="NoSpacing"/>
                    <w:jc w:val="center"/>
                  </w:pPr>
                  <w:r w:rsidRPr="00791AAE">
                    <w:t>DY5</w:t>
                  </w:r>
                </w:p>
                <w:p w14:paraId="3DB4B415" w14:textId="7FD6B061" w:rsidR="00F2515D" w:rsidRPr="00791AAE" w:rsidRDefault="00F2515D" w:rsidP="00625C2C">
                  <w:pPr>
                    <w:pStyle w:val="NoSpacing"/>
                    <w:jc w:val="center"/>
                  </w:pPr>
                </w:p>
              </w:tc>
            </w:tr>
            <w:tr w:rsidR="00F2515D" w14:paraId="777F0C42" w14:textId="77777777" w:rsidTr="00625C2C">
              <w:tc>
                <w:tcPr>
                  <w:tcW w:w="1880" w:type="dxa"/>
                  <w:vMerge w:val="restart"/>
                </w:tcPr>
                <w:p w14:paraId="175F7E1F" w14:textId="11A3BC71" w:rsidR="00F2515D" w:rsidRPr="00791AAE" w:rsidRDefault="00F2515D" w:rsidP="00625C2C">
                  <w:pPr>
                    <w:pStyle w:val="NoSpacing"/>
                    <w:jc w:val="center"/>
                  </w:pPr>
                  <w:r>
                    <w:t>Achievement Level Calculations</w:t>
                  </w:r>
                </w:p>
                <w:p w14:paraId="75435EA5" w14:textId="2B32BC52" w:rsidR="00F2515D" w:rsidRPr="00791AAE" w:rsidRDefault="00F2515D" w:rsidP="00625C2C">
                  <w:pPr>
                    <w:pStyle w:val="NoSpacing"/>
                    <w:jc w:val="center"/>
                  </w:pPr>
                </w:p>
              </w:tc>
              <w:tc>
                <w:tcPr>
                  <w:tcW w:w="1060" w:type="dxa"/>
                </w:tcPr>
                <w:p w14:paraId="2140FC56" w14:textId="3F9D39C9" w:rsidR="00F2515D" w:rsidRDefault="00F2515D">
                  <w:pPr>
                    <w:pStyle w:val="NoSpacing"/>
                    <w:jc w:val="center"/>
                  </w:pPr>
                  <w:r>
                    <w:t>Baseline below MPL</w:t>
                  </w:r>
                </w:p>
              </w:tc>
              <w:tc>
                <w:tcPr>
                  <w:tcW w:w="1846" w:type="dxa"/>
                </w:tcPr>
                <w:p w14:paraId="3492DC66" w14:textId="546F4F55" w:rsidR="00F2515D" w:rsidRPr="00791AAE" w:rsidRDefault="00F2515D" w:rsidP="00625C2C">
                  <w:pPr>
                    <w:pStyle w:val="NoSpacing"/>
                    <w:jc w:val="center"/>
                  </w:pPr>
                  <w:r w:rsidRPr="00F2515D">
                    <w:t>MPL</w:t>
                  </w:r>
                </w:p>
              </w:tc>
              <w:tc>
                <w:tcPr>
                  <w:tcW w:w="1846" w:type="dxa"/>
                </w:tcPr>
                <w:p w14:paraId="011E03A9" w14:textId="4D435CE6" w:rsidR="00F2515D" w:rsidRPr="00791AAE" w:rsidRDefault="00F2515D" w:rsidP="00625C2C">
                  <w:pPr>
                    <w:pStyle w:val="NoSpacing"/>
                    <w:jc w:val="center"/>
                  </w:pPr>
                  <w:r w:rsidRPr="00F2515D">
                    <w:t>MPL + 10%* (HPL-MPL)</w:t>
                  </w:r>
                </w:p>
              </w:tc>
            </w:tr>
            <w:tr w:rsidR="00F2515D" w14:paraId="39F00051" w14:textId="77777777" w:rsidTr="00625C2C">
              <w:tc>
                <w:tcPr>
                  <w:tcW w:w="1880" w:type="dxa"/>
                  <w:vMerge/>
                </w:tcPr>
                <w:p w14:paraId="60064413" w14:textId="3B932782" w:rsidR="00F2515D" w:rsidRPr="00791AAE" w:rsidRDefault="00F2515D" w:rsidP="00625C2C">
                  <w:pPr>
                    <w:pStyle w:val="NoSpacing"/>
                    <w:jc w:val="center"/>
                  </w:pPr>
                </w:p>
              </w:tc>
              <w:tc>
                <w:tcPr>
                  <w:tcW w:w="1060" w:type="dxa"/>
                </w:tcPr>
                <w:p w14:paraId="5EA66684" w14:textId="0DBEAA0A" w:rsidR="00F2515D" w:rsidRDefault="00F2515D">
                  <w:pPr>
                    <w:pStyle w:val="NoSpacing"/>
                    <w:jc w:val="center"/>
                  </w:pPr>
                  <w:r>
                    <w:t>Baseline above MPL</w:t>
                  </w:r>
                </w:p>
              </w:tc>
              <w:tc>
                <w:tcPr>
                  <w:tcW w:w="1846" w:type="dxa"/>
                </w:tcPr>
                <w:p w14:paraId="6B6E7B1F" w14:textId="2C4FC869" w:rsidR="00F2515D" w:rsidRPr="00791AAE" w:rsidRDefault="00F2515D" w:rsidP="00625C2C">
                  <w:pPr>
                    <w:pStyle w:val="NoSpacing"/>
                    <w:jc w:val="center"/>
                  </w:pPr>
                  <w:r>
                    <w:t>B</w:t>
                  </w:r>
                  <w:r w:rsidRPr="00F2515D">
                    <w:t xml:space="preserve">aseline + 10%*(HPL - </w:t>
                  </w:r>
                  <w:r>
                    <w:t>B</w:t>
                  </w:r>
                  <w:r w:rsidRPr="00F2515D">
                    <w:t>aseline)</w:t>
                  </w:r>
                </w:p>
              </w:tc>
              <w:tc>
                <w:tcPr>
                  <w:tcW w:w="1846" w:type="dxa"/>
                </w:tcPr>
                <w:p w14:paraId="08763586" w14:textId="0BC82A5B" w:rsidR="00F2515D" w:rsidRPr="00791AAE" w:rsidRDefault="00155143" w:rsidP="00625C2C">
                  <w:pPr>
                    <w:pStyle w:val="NoSpacing"/>
                    <w:jc w:val="center"/>
                  </w:pPr>
                  <w:r>
                    <w:t>B</w:t>
                  </w:r>
                  <w:r w:rsidRPr="00155143">
                    <w:t xml:space="preserve">aseline + 20%*(HPL - </w:t>
                  </w:r>
                  <w:r>
                    <w:t>B</w:t>
                  </w:r>
                  <w:r w:rsidRPr="00155143">
                    <w:t>aseline)</w:t>
                  </w:r>
                </w:p>
              </w:tc>
            </w:tr>
          </w:tbl>
          <w:p w14:paraId="54CE6208" w14:textId="77777777" w:rsidR="00791AAE" w:rsidRDefault="00791AAE" w:rsidP="00967948">
            <w:pPr>
              <w:pStyle w:val="NoSpacing"/>
            </w:pPr>
          </w:p>
        </w:tc>
      </w:tr>
      <w:tr w:rsidR="004A4CEB" w14:paraId="19847960" w14:textId="77777777" w:rsidTr="00625C2C">
        <w:tc>
          <w:tcPr>
            <w:tcW w:w="2718" w:type="dxa"/>
          </w:tcPr>
          <w:p w14:paraId="412DA37C" w14:textId="0A311086" w:rsidR="004A4CEB" w:rsidRDefault="004A4CEB" w:rsidP="00A374B8">
            <w:pPr>
              <w:pStyle w:val="NoSpacing"/>
              <w:rPr>
                <w:b/>
              </w:rPr>
            </w:pPr>
            <w:r>
              <w:rPr>
                <w:b/>
              </w:rPr>
              <w:t>Benchmark Description</w:t>
            </w:r>
          </w:p>
        </w:tc>
        <w:tc>
          <w:tcPr>
            <w:tcW w:w="6858" w:type="dxa"/>
          </w:tcPr>
          <w:tbl>
            <w:tblPr>
              <w:tblStyle w:val="TableGrid"/>
              <w:tblW w:w="6637" w:type="dxa"/>
              <w:tblLayout w:type="fixed"/>
              <w:tblLook w:val="04A0" w:firstRow="1" w:lastRow="0" w:firstColumn="1" w:lastColumn="0" w:noHBand="0" w:noVBand="1"/>
            </w:tblPr>
            <w:tblGrid>
              <w:gridCol w:w="3397"/>
              <w:gridCol w:w="3230"/>
              <w:gridCol w:w="10"/>
            </w:tblGrid>
            <w:tr w:rsidR="004A4CEB" w14:paraId="4C6E8BAB" w14:textId="77777777" w:rsidTr="00625C2C">
              <w:trPr>
                <w:gridAfter w:val="1"/>
                <w:wAfter w:w="10" w:type="dxa"/>
              </w:trPr>
              <w:tc>
                <w:tcPr>
                  <w:tcW w:w="6627" w:type="dxa"/>
                  <w:gridSpan w:val="2"/>
                </w:tcPr>
                <w:p w14:paraId="698FCB13" w14:textId="3AC3E461" w:rsidR="004A4CEB" w:rsidRPr="00791AAE" w:rsidRDefault="00155143" w:rsidP="00625C2C">
                  <w:pPr>
                    <w:pStyle w:val="NoSpacing"/>
                    <w:jc w:val="center"/>
                  </w:pPr>
                  <w:r>
                    <w:t xml:space="preserve">NCQA Quality Compass </w:t>
                  </w:r>
                </w:p>
              </w:tc>
            </w:tr>
            <w:tr w:rsidR="00155143" w14:paraId="5265B27D" w14:textId="77777777" w:rsidTr="00625C2C">
              <w:tc>
                <w:tcPr>
                  <w:tcW w:w="3397" w:type="dxa"/>
                </w:tcPr>
                <w:p w14:paraId="47F0EAF3" w14:textId="77777777" w:rsidR="00155143" w:rsidRPr="00791AAE" w:rsidRDefault="00155143" w:rsidP="00537ED7">
                  <w:pPr>
                    <w:pStyle w:val="NoSpacing"/>
                    <w:jc w:val="center"/>
                  </w:pPr>
                  <w:r w:rsidRPr="00791AAE">
                    <w:t>HPL (90</w:t>
                  </w:r>
                  <w:r w:rsidRPr="00537ED7">
                    <w:rPr>
                      <w:vertAlign w:val="superscript"/>
                    </w:rPr>
                    <w:t>th</w:t>
                  </w:r>
                  <w:r w:rsidRPr="00791AAE">
                    <w:t xml:space="preserve"> Percentile)</w:t>
                  </w:r>
                </w:p>
              </w:tc>
              <w:tc>
                <w:tcPr>
                  <w:tcW w:w="3240" w:type="dxa"/>
                  <w:gridSpan w:val="2"/>
                </w:tcPr>
                <w:p w14:paraId="00723F3A" w14:textId="19DACA86" w:rsidR="00155143" w:rsidRPr="00791AAE" w:rsidRDefault="00155143" w:rsidP="00155143">
                  <w:pPr>
                    <w:pStyle w:val="NoSpacing"/>
                    <w:jc w:val="center"/>
                  </w:pPr>
                  <w:r>
                    <w:t>91.30%</w:t>
                  </w:r>
                </w:p>
              </w:tc>
            </w:tr>
            <w:tr w:rsidR="00155143" w14:paraId="22B121FE" w14:textId="77777777" w:rsidTr="00625C2C">
              <w:tc>
                <w:tcPr>
                  <w:tcW w:w="3397" w:type="dxa"/>
                </w:tcPr>
                <w:p w14:paraId="227D42FF" w14:textId="12C14549" w:rsidR="00155143" w:rsidRPr="00791AAE" w:rsidRDefault="00155143" w:rsidP="004A4CEB">
                  <w:pPr>
                    <w:pStyle w:val="NoSpacing"/>
                    <w:jc w:val="center"/>
                  </w:pPr>
                  <w:r>
                    <w:t>MPL (25</w:t>
                  </w:r>
                  <w:r w:rsidRPr="00791AAE">
                    <w:rPr>
                      <w:vertAlign w:val="superscript"/>
                    </w:rPr>
                    <w:t>th</w:t>
                  </w:r>
                  <w:r w:rsidRPr="00791AAE">
                    <w:t xml:space="preserve"> Percentile)</w:t>
                  </w:r>
                  <w:r>
                    <w:t xml:space="preserve"> or 10</w:t>
                  </w:r>
                  <w:r w:rsidRPr="00625C2C">
                    <w:rPr>
                      <w:vertAlign w:val="superscript"/>
                    </w:rPr>
                    <w:t>th</w:t>
                  </w:r>
                  <w:r>
                    <w:t xml:space="preserve"> if applicable</w:t>
                  </w:r>
                </w:p>
              </w:tc>
              <w:tc>
                <w:tcPr>
                  <w:tcW w:w="3240" w:type="dxa"/>
                  <w:gridSpan w:val="2"/>
                </w:tcPr>
                <w:p w14:paraId="3A800575" w14:textId="52E798B9" w:rsidR="00155143" w:rsidRPr="00791AAE" w:rsidRDefault="00155143" w:rsidP="00537ED7">
                  <w:pPr>
                    <w:pStyle w:val="NoSpacing"/>
                    <w:jc w:val="center"/>
                  </w:pPr>
                  <w:r>
                    <w:t>83.70%</w:t>
                  </w:r>
                </w:p>
              </w:tc>
            </w:tr>
          </w:tbl>
          <w:p w14:paraId="0EE59B53" w14:textId="77777777" w:rsidR="004A4CEB" w:rsidRDefault="004A4CEB" w:rsidP="00B05CBF">
            <w:pPr>
              <w:pStyle w:val="NoSpacing"/>
            </w:pPr>
          </w:p>
        </w:tc>
      </w:tr>
      <w:tr w:rsidR="00AD706B" w14:paraId="54CE6210" w14:textId="77777777" w:rsidTr="00625C2C">
        <w:tc>
          <w:tcPr>
            <w:tcW w:w="2718" w:type="dxa"/>
          </w:tcPr>
          <w:p w14:paraId="54CE620A" w14:textId="77777777" w:rsidR="00AD706B" w:rsidRPr="00717546" w:rsidRDefault="00AD706B" w:rsidP="00A374B8">
            <w:pPr>
              <w:pStyle w:val="NoSpacing"/>
              <w:rPr>
                <w:b/>
              </w:rPr>
            </w:pPr>
            <w:r>
              <w:rPr>
                <w:b/>
              </w:rPr>
              <w:t>DSRIP-specific modifications to Measure Steward’s specification</w:t>
            </w:r>
          </w:p>
        </w:tc>
        <w:tc>
          <w:tcPr>
            <w:tcW w:w="6858" w:type="dxa"/>
          </w:tcPr>
          <w:p w14:paraId="54CE620B" w14:textId="77777777" w:rsidR="00715994" w:rsidRDefault="00715994" w:rsidP="00B05CBF">
            <w:pPr>
              <w:pStyle w:val="NoSpacing"/>
            </w:pPr>
            <w:r>
              <w:t xml:space="preserve">The Measure Steward’s specification has been modified </w:t>
            </w:r>
            <w:r w:rsidR="00D4693B">
              <w:t>as follows</w:t>
            </w:r>
            <w:r>
              <w:t>:</w:t>
            </w:r>
          </w:p>
          <w:p w14:paraId="54CE620C" w14:textId="77777777" w:rsidR="00715994" w:rsidRDefault="00C619EF" w:rsidP="00715994">
            <w:pPr>
              <w:pStyle w:val="NoSpacing"/>
              <w:numPr>
                <w:ilvl w:val="0"/>
                <w:numId w:val="10"/>
              </w:numPr>
            </w:pPr>
            <w:r w:rsidRPr="00C619EF">
              <w:t xml:space="preserve">Replaced term "member" with "patient"; </w:t>
            </w:r>
          </w:p>
          <w:p w14:paraId="54CE620D" w14:textId="77777777" w:rsidR="00715994" w:rsidRDefault="00715994" w:rsidP="00715994">
            <w:pPr>
              <w:pStyle w:val="NoSpacing"/>
              <w:numPr>
                <w:ilvl w:val="0"/>
                <w:numId w:val="10"/>
              </w:numPr>
            </w:pPr>
            <w:r>
              <w:t>R</w:t>
            </w:r>
            <w:r w:rsidR="00C619EF" w:rsidRPr="00C619EF">
              <w:t>emoved references to patient needing to be enrolled</w:t>
            </w:r>
          </w:p>
          <w:p w14:paraId="54CE620E" w14:textId="77777777" w:rsidR="00715994" w:rsidRDefault="00715994" w:rsidP="00715994">
            <w:pPr>
              <w:pStyle w:val="NoSpacing"/>
              <w:numPr>
                <w:ilvl w:val="0"/>
                <w:numId w:val="10"/>
              </w:numPr>
            </w:pPr>
            <w:r>
              <w:t>R</w:t>
            </w:r>
            <w:r w:rsidR="00C619EF" w:rsidRPr="00C619EF">
              <w:t>eplaced inclusion criteria with reference to the measure specifications;</w:t>
            </w:r>
          </w:p>
          <w:p w14:paraId="54CE620F" w14:textId="77777777" w:rsidR="00AD706B" w:rsidRDefault="00715994" w:rsidP="00715994">
            <w:pPr>
              <w:pStyle w:val="NoSpacing"/>
              <w:numPr>
                <w:ilvl w:val="0"/>
                <w:numId w:val="10"/>
              </w:numPr>
            </w:pPr>
            <w:r>
              <w:t>R</w:t>
            </w:r>
            <w:r w:rsidR="00C619EF" w:rsidRPr="00C619EF">
              <w:t>emoved references to Medicare specifications</w:t>
            </w:r>
          </w:p>
        </w:tc>
      </w:tr>
      <w:tr w:rsidR="00AD706B" w14:paraId="54CE6213" w14:textId="77777777" w:rsidTr="00625C2C">
        <w:tc>
          <w:tcPr>
            <w:tcW w:w="2718" w:type="dxa"/>
          </w:tcPr>
          <w:p w14:paraId="54CE6211"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tcPr>
          <w:p w14:paraId="54CE6212" w14:textId="25D1F494" w:rsidR="00AD706B" w:rsidRPr="009F7E66" w:rsidRDefault="00C619EF" w:rsidP="00F21CD9">
            <w:pPr>
              <w:pStyle w:val="NoSpacing"/>
            </w:pPr>
            <w:bookmarkStart w:id="0" w:name="_GoBack"/>
            <w:r>
              <w:t xml:space="preserve">Patients 18 years of age and older as of </w:t>
            </w:r>
            <w:r w:rsidR="00C673F3">
              <w:t>the last day</w:t>
            </w:r>
            <w:r>
              <w:t xml:space="preserve"> of the measurement year on persistent angiotensin converting enzyme (ACE) inhibitors or angiotensin receptor blockers (ARBs) -- defined as patients who received at least 180 treatment days of ambulatory medication during the measurement year </w:t>
            </w:r>
            <w:bookmarkEnd w:id="0"/>
          </w:p>
        </w:tc>
      </w:tr>
      <w:tr w:rsidR="00B05CBF" w14:paraId="54CE6216" w14:textId="77777777" w:rsidTr="00625C2C">
        <w:trPr>
          <w:trHeight w:val="728"/>
        </w:trPr>
        <w:tc>
          <w:tcPr>
            <w:tcW w:w="2718" w:type="dxa"/>
          </w:tcPr>
          <w:p w14:paraId="54CE6214" w14:textId="77777777" w:rsidR="00B05CBF" w:rsidRPr="00717546" w:rsidRDefault="00B05CBF" w:rsidP="00C01E6F">
            <w:pPr>
              <w:pStyle w:val="NoSpacing"/>
              <w:rPr>
                <w:b/>
              </w:rPr>
            </w:pPr>
            <w:r>
              <w:rPr>
                <w:b/>
              </w:rPr>
              <w:t>Denominator Inclusions</w:t>
            </w:r>
          </w:p>
        </w:tc>
        <w:tc>
          <w:tcPr>
            <w:tcW w:w="6858" w:type="dxa"/>
          </w:tcPr>
          <w:p w14:paraId="6DF07D5B" w14:textId="77777777" w:rsidR="00B05CBF" w:rsidRDefault="00C619EF" w:rsidP="00C673F3">
            <w:pPr>
              <w:pStyle w:val="NoSpacing"/>
            </w:pPr>
            <w:r>
              <w:t xml:space="preserve">Patients* 18 years of age and older as of </w:t>
            </w:r>
            <w:r w:rsidR="00C673F3">
              <w:t>the last day</w:t>
            </w:r>
            <w:r>
              <w:t xml:space="preserve"> of the measurement year on persistent angiotensin converting enzyme (ACE) inhibitors or angiotensin receptor blockers (ARBs)** -- defined as patients who received at least 180 treatment days*** of ambulatory medication during the measurement year</w:t>
            </w:r>
          </w:p>
          <w:p w14:paraId="3563CFE6" w14:textId="77777777" w:rsidR="007E1BD4" w:rsidRDefault="007E1BD4" w:rsidP="00625C2C">
            <w:pPr>
              <w:pStyle w:val="NoSpacing"/>
              <w:numPr>
                <w:ilvl w:val="0"/>
                <w:numId w:val="12"/>
              </w:numPr>
            </w:pPr>
            <w:r>
              <w:t>Patients</w:t>
            </w:r>
            <w:r w:rsidRPr="007E1BD4">
              <w:t xml:space="preserve"> may switch therapy with any medication listed in Table CDC-L during the measurement year and have the </w:t>
            </w:r>
            <w:proofErr w:type="spellStart"/>
            <w:r w:rsidRPr="007E1BD4">
              <w:t>days</w:t>
            </w:r>
            <w:proofErr w:type="spellEnd"/>
            <w:r w:rsidRPr="007E1BD4">
              <w:t xml:space="preserve"> supply for </w:t>
            </w:r>
            <w:r w:rsidRPr="007E1BD4">
              <w:lastRenderedPageBreak/>
              <w:t>those medications count toward the total 180 treatment days (i.e., a member who received 90 days of ACE inhibitors and 90 days of ARBs meets the denominator definition for this measure)</w:t>
            </w:r>
          </w:p>
          <w:p w14:paraId="321A8290" w14:textId="24369D57" w:rsidR="007136D5" w:rsidRDefault="007136D5" w:rsidP="007136D5">
            <w:pPr>
              <w:pStyle w:val="NoSpacing"/>
              <w:numPr>
                <w:ilvl w:val="0"/>
                <w:numId w:val="12"/>
              </w:numPr>
            </w:pPr>
            <w:r>
              <w:t xml:space="preserve">Treatment days are the actual number of calendar days covered with prescriptions within the measurement year (i.e., a prescription of 90 </w:t>
            </w:r>
            <w:proofErr w:type="spellStart"/>
            <w:r>
              <w:t>days</w:t>
            </w:r>
            <w:proofErr w:type="spellEnd"/>
            <w:r>
              <w:t xml:space="preserve"> supply dispensed on December 1 of the measurement year counts as 30 treatment days). Sum the </w:t>
            </w:r>
            <w:proofErr w:type="spellStart"/>
            <w:r>
              <w:t>days</w:t>
            </w:r>
            <w:proofErr w:type="spellEnd"/>
            <w:r>
              <w:t xml:space="preserve"> supply for all medications and subtract any </w:t>
            </w:r>
            <w:proofErr w:type="gramStart"/>
            <w:r>
              <w:t>days</w:t>
            </w:r>
            <w:proofErr w:type="gramEnd"/>
            <w:r>
              <w:t xml:space="preserve"> supply that extends beyond December 31 of the measurement year. </w:t>
            </w:r>
          </w:p>
          <w:p w14:paraId="54CE6215" w14:textId="7967F533" w:rsidR="007136D5" w:rsidRPr="00625C2C" w:rsidRDefault="007136D5" w:rsidP="00625C2C">
            <w:pPr>
              <w:pStyle w:val="NoSpacing"/>
              <w:numPr>
                <w:ilvl w:val="0"/>
                <w:numId w:val="12"/>
              </w:numPr>
            </w:pPr>
            <w:r>
              <w:t>Medications dispensed in the year prior to the measurement year must be counted toward the 180 treatment days.</w:t>
            </w:r>
          </w:p>
        </w:tc>
      </w:tr>
      <w:tr w:rsidR="00B05CBF" w14:paraId="54CE6219" w14:textId="77777777" w:rsidTr="00625C2C">
        <w:trPr>
          <w:trHeight w:val="710"/>
        </w:trPr>
        <w:tc>
          <w:tcPr>
            <w:tcW w:w="2718" w:type="dxa"/>
          </w:tcPr>
          <w:p w14:paraId="54CE6217" w14:textId="77777777" w:rsidR="00B05CBF" w:rsidRPr="00717546" w:rsidRDefault="00B05CBF" w:rsidP="00C01E6F">
            <w:pPr>
              <w:pStyle w:val="NoSpacing"/>
              <w:rPr>
                <w:b/>
              </w:rPr>
            </w:pPr>
            <w:r>
              <w:rPr>
                <w:b/>
              </w:rPr>
              <w:lastRenderedPageBreak/>
              <w:t>Denominator Exclusions</w:t>
            </w:r>
          </w:p>
        </w:tc>
        <w:tc>
          <w:tcPr>
            <w:tcW w:w="6858" w:type="dxa"/>
          </w:tcPr>
          <w:p w14:paraId="54CE6218" w14:textId="13AB8226" w:rsidR="00B05CBF" w:rsidRPr="001D6BEA" w:rsidRDefault="00C619EF" w:rsidP="00C619EF">
            <w:pPr>
              <w:pStyle w:val="NoSpacing"/>
            </w:pPr>
            <w:r>
              <w:t xml:space="preserve">Exclude patients who had an inpatient (acute or </w:t>
            </w:r>
            <w:proofErr w:type="spellStart"/>
            <w:r>
              <w:t>nonacute</w:t>
            </w:r>
            <w:proofErr w:type="spellEnd"/>
            <w:r>
              <w:t xml:space="preserve">) claim/encounter during the measurement year. </w:t>
            </w:r>
            <w:r>
              <w:rPr>
                <w:rStyle w:val="Emphasis"/>
              </w:rPr>
              <w:t>(Optional)</w:t>
            </w:r>
          </w:p>
        </w:tc>
      </w:tr>
      <w:tr w:rsidR="00D63CD3" w14:paraId="54CE621F" w14:textId="77777777" w:rsidTr="00625C2C">
        <w:tc>
          <w:tcPr>
            <w:tcW w:w="2718" w:type="dxa"/>
          </w:tcPr>
          <w:p w14:paraId="54CE621A" w14:textId="77777777" w:rsidR="00D63CD3" w:rsidRDefault="00D63CD3" w:rsidP="00AF103E">
            <w:pPr>
              <w:pStyle w:val="NoSpacing"/>
              <w:rPr>
                <w:b/>
              </w:rPr>
            </w:pPr>
            <w:r>
              <w:rPr>
                <w:b/>
              </w:rPr>
              <w:t>Denominator Size</w:t>
            </w:r>
          </w:p>
        </w:tc>
        <w:tc>
          <w:tcPr>
            <w:tcW w:w="6858" w:type="dxa"/>
          </w:tcPr>
          <w:p w14:paraId="54CE621B" w14:textId="35ACB576"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 xml:space="preserve">12-month measurement period </w:t>
            </w:r>
          </w:p>
          <w:p w14:paraId="54CE621C" w14:textId="2C18340B" w:rsidR="0032246B" w:rsidRDefault="0032246B" w:rsidP="0032246B">
            <w:pPr>
              <w:pStyle w:val="NoSpacing"/>
              <w:numPr>
                <w:ilvl w:val="0"/>
                <w:numId w:val="8"/>
              </w:numPr>
            </w:pPr>
            <w:r>
              <w:t xml:space="preserve">For a measurement period </w:t>
            </w:r>
            <w:r w:rsidR="0011709A">
              <w:t xml:space="preserve">where the </w:t>
            </w:r>
            <w:r>
              <w:t>denominator size is less than or equal to 75, providers must report on all cases. No sampling is allowed.</w:t>
            </w:r>
          </w:p>
          <w:p w14:paraId="54CE621D" w14:textId="5D5155B3" w:rsidR="0032246B" w:rsidRDefault="0032246B" w:rsidP="0032246B">
            <w:pPr>
              <w:pStyle w:val="NoSpacing"/>
              <w:numPr>
                <w:ilvl w:val="0"/>
                <w:numId w:val="8"/>
              </w:numPr>
            </w:pPr>
            <w:r>
              <w:t xml:space="preserve">For a measurement period </w:t>
            </w:r>
            <w:r w:rsidR="0011709A">
              <w:t xml:space="preserve">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54CE621E" w14:textId="1B7F4400" w:rsidR="0032246B" w:rsidRPr="001D6BEA" w:rsidRDefault="0032246B" w:rsidP="00F4281B">
            <w:pPr>
              <w:pStyle w:val="NoSpacing"/>
              <w:numPr>
                <w:ilvl w:val="0"/>
                <w:numId w:val="8"/>
              </w:numPr>
            </w:pPr>
            <w:r>
              <w:t xml:space="preserve">For a measurement period </w:t>
            </w:r>
            <w:r w:rsidR="0011709A">
              <w:t>where the denominator size</w:t>
            </w:r>
            <w:r>
              <w:t xml:space="preserve"> is greater than </w:t>
            </w:r>
            <w:r w:rsidR="00F4281B">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54CE6222" w14:textId="77777777" w:rsidTr="00625C2C">
        <w:tc>
          <w:tcPr>
            <w:tcW w:w="2718" w:type="dxa"/>
          </w:tcPr>
          <w:p w14:paraId="54CE6220" w14:textId="77777777" w:rsidR="00AC3A97" w:rsidRPr="00717546" w:rsidRDefault="00AC3A97" w:rsidP="00AF103E">
            <w:pPr>
              <w:pStyle w:val="NoSpacing"/>
              <w:rPr>
                <w:b/>
              </w:rPr>
            </w:pPr>
            <w:r>
              <w:rPr>
                <w:b/>
              </w:rPr>
              <w:t xml:space="preserve">Numerator Description </w:t>
            </w:r>
          </w:p>
        </w:tc>
        <w:tc>
          <w:tcPr>
            <w:tcW w:w="6858" w:type="dxa"/>
          </w:tcPr>
          <w:p w14:paraId="54CE6221" w14:textId="7C60678C" w:rsidR="00AC3A97" w:rsidRPr="009F7E66" w:rsidRDefault="00B2349F" w:rsidP="00B2349F">
            <w:pPr>
              <w:pStyle w:val="NoSpacing"/>
            </w:pPr>
            <w:r>
              <w:t xml:space="preserve">Patients from the denominator with at least one serum potassium </w:t>
            </w:r>
            <w:r>
              <w:rPr>
                <w:rStyle w:val="Emphasis"/>
              </w:rPr>
              <w:t>and</w:t>
            </w:r>
            <w:r>
              <w:t xml:space="preserve"> either a serum creatinine or a blood urea nitrogen therapeutic monitoring test in the measurement year </w:t>
            </w:r>
          </w:p>
        </w:tc>
      </w:tr>
      <w:tr w:rsidR="00AC3A97" w14:paraId="54CE6228" w14:textId="77777777" w:rsidTr="00625C2C">
        <w:tc>
          <w:tcPr>
            <w:tcW w:w="2718" w:type="dxa"/>
          </w:tcPr>
          <w:p w14:paraId="54CE6223" w14:textId="77777777" w:rsidR="00AC3A97" w:rsidRPr="00717546" w:rsidRDefault="00AC3A97" w:rsidP="00AF103E">
            <w:pPr>
              <w:pStyle w:val="NoSpacing"/>
              <w:rPr>
                <w:b/>
              </w:rPr>
            </w:pPr>
            <w:r>
              <w:rPr>
                <w:b/>
              </w:rPr>
              <w:t>Numerator Inclusions</w:t>
            </w:r>
          </w:p>
        </w:tc>
        <w:tc>
          <w:tcPr>
            <w:tcW w:w="6858" w:type="dxa"/>
          </w:tcPr>
          <w:p w14:paraId="54CE6224" w14:textId="2E3747A1" w:rsidR="00B2349F" w:rsidRPr="00B2349F" w:rsidRDefault="00B2349F" w:rsidP="00B2349F">
            <w:pPr>
              <w:spacing w:before="100" w:beforeAutospacing="1" w:after="100" w:afterAutospacing="1" w:line="240" w:lineRule="auto"/>
              <w:rPr>
                <w:rFonts w:eastAsia="Times New Roman" w:cs="Times New Roman"/>
              </w:rPr>
            </w:pPr>
            <w:r w:rsidRPr="002167EA">
              <w:rPr>
                <w:rFonts w:eastAsia="Times New Roman" w:cs="Times New Roman"/>
              </w:rPr>
              <w:t>Patients</w:t>
            </w:r>
            <w:r w:rsidRPr="00B2349F">
              <w:rPr>
                <w:rFonts w:eastAsia="Times New Roman" w:cs="Times New Roman"/>
              </w:rPr>
              <w:t xml:space="preserve"> from the denominator with at least one serum potassium </w:t>
            </w:r>
            <w:r w:rsidRPr="002167EA">
              <w:rPr>
                <w:rFonts w:eastAsia="Times New Roman" w:cs="Times New Roman"/>
                <w:i/>
                <w:iCs/>
              </w:rPr>
              <w:t>and</w:t>
            </w:r>
            <w:r w:rsidRPr="00B2349F">
              <w:rPr>
                <w:rFonts w:eastAsia="Times New Roman" w:cs="Times New Roman"/>
              </w:rPr>
              <w:t xml:space="preserve"> either a serum creatinine or a blood urea nitrogen therapeutic monitoring test in the measurement year (refer to Table MPM-A in the original measure documentation for codes to identify physiologic monitoring tests). The </w:t>
            </w:r>
            <w:r w:rsidRPr="002167EA">
              <w:rPr>
                <w:rFonts w:eastAsia="Times New Roman" w:cs="Times New Roman"/>
              </w:rPr>
              <w:t>patient</w:t>
            </w:r>
            <w:r w:rsidRPr="00B2349F">
              <w:rPr>
                <w:rFonts w:eastAsia="Times New Roman" w:cs="Times New Roman"/>
              </w:rPr>
              <w:t xml:space="preserve"> must meet one of the following criteria to be compliant.</w:t>
            </w:r>
          </w:p>
          <w:p w14:paraId="54CE6225" w14:textId="77777777" w:rsidR="00B2349F" w:rsidRPr="00B2349F" w:rsidRDefault="00B2349F" w:rsidP="00B2349F">
            <w:pPr>
              <w:numPr>
                <w:ilvl w:val="0"/>
                <w:numId w:val="9"/>
              </w:numPr>
              <w:spacing w:before="100" w:beforeAutospacing="1" w:after="100" w:afterAutospacing="1" w:line="240" w:lineRule="auto"/>
              <w:rPr>
                <w:rFonts w:eastAsia="Times New Roman" w:cs="Times New Roman"/>
              </w:rPr>
            </w:pPr>
            <w:r w:rsidRPr="00B2349F">
              <w:rPr>
                <w:rFonts w:eastAsia="Times New Roman" w:cs="Times New Roman"/>
              </w:rPr>
              <w:t xml:space="preserve">A code for a </w:t>
            </w:r>
            <w:r w:rsidRPr="002167EA">
              <w:rPr>
                <w:rFonts w:eastAsia="Times New Roman" w:cs="Times New Roman"/>
                <w:i/>
                <w:iCs/>
              </w:rPr>
              <w:t>lab panel</w:t>
            </w:r>
            <w:r w:rsidRPr="00B2349F">
              <w:rPr>
                <w:rFonts w:eastAsia="Times New Roman" w:cs="Times New Roman"/>
              </w:rPr>
              <w:t xml:space="preserve"> test during the measurement year </w:t>
            </w:r>
          </w:p>
          <w:p w14:paraId="54CE6226" w14:textId="77777777" w:rsidR="00B2349F" w:rsidRPr="00B2349F" w:rsidRDefault="00B2349F" w:rsidP="00B2349F">
            <w:pPr>
              <w:numPr>
                <w:ilvl w:val="0"/>
                <w:numId w:val="9"/>
              </w:numPr>
              <w:spacing w:before="100" w:beforeAutospacing="1" w:after="100" w:afterAutospacing="1" w:line="240" w:lineRule="auto"/>
              <w:rPr>
                <w:rFonts w:eastAsia="Times New Roman" w:cs="Times New Roman"/>
              </w:rPr>
            </w:pPr>
            <w:r w:rsidRPr="00B2349F">
              <w:rPr>
                <w:rFonts w:eastAsia="Times New Roman" w:cs="Times New Roman"/>
              </w:rPr>
              <w:t xml:space="preserve">A code for a serum potassium </w:t>
            </w:r>
            <w:r w:rsidRPr="002167EA">
              <w:rPr>
                <w:rFonts w:eastAsia="Times New Roman" w:cs="Times New Roman"/>
                <w:b/>
                <w:bCs/>
                <w:i/>
                <w:iCs/>
              </w:rPr>
              <w:t>and</w:t>
            </w:r>
            <w:r w:rsidRPr="00B2349F">
              <w:rPr>
                <w:rFonts w:eastAsia="Times New Roman" w:cs="Times New Roman"/>
              </w:rPr>
              <w:t xml:space="preserve"> a code for serum creatinine during the measurement year </w:t>
            </w:r>
          </w:p>
          <w:p w14:paraId="6F5354AA" w14:textId="77777777" w:rsidR="007E1BD4" w:rsidRDefault="00B2349F" w:rsidP="007E1B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349F">
              <w:rPr>
                <w:rFonts w:eastAsia="Times New Roman" w:cs="Times New Roman"/>
              </w:rPr>
              <w:t xml:space="preserve">A code for serum potassium </w:t>
            </w:r>
            <w:r w:rsidRPr="002167EA">
              <w:rPr>
                <w:rFonts w:eastAsia="Times New Roman" w:cs="Times New Roman"/>
                <w:b/>
                <w:bCs/>
                <w:i/>
                <w:iCs/>
              </w:rPr>
              <w:t>and</w:t>
            </w:r>
            <w:r w:rsidRPr="00B2349F">
              <w:rPr>
                <w:rFonts w:eastAsia="Times New Roman" w:cs="Times New Roman"/>
              </w:rPr>
              <w:t xml:space="preserve"> a code for blood urea nitrogen during the measurement year</w:t>
            </w:r>
          </w:p>
          <w:p w14:paraId="54CE6227" w14:textId="45B28DA3" w:rsidR="00AC3A97" w:rsidRPr="007E1BD4" w:rsidRDefault="007E1BD4" w:rsidP="00625C2C">
            <w:pPr>
              <w:spacing w:before="100" w:beforeAutospacing="1" w:after="100" w:afterAutospacing="1" w:line="240" w:lineRule="auto"/>
              <w:ind w:left="1332" w:hanging="6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 The tests do not need to occur on the same service date, only within the same measurement year.</w:t>
            </w:r>
            <w:r w:rsidR="00B2349F" w:rsidRPr="007E1BD4">
              <w:rPr>
                <w:rFonts w:ascii="Times New Roman" w:eastAsia="Times New Roman" w:hAnsi="Times New Roman" w:cs="Times New Roman"/>
              </w:rPr>
              <w:t xml:space="preserve"> </w:t>
            </w:r>
          </w:p>
        </w:tc>
      </w:tr>
      <w:tr w:rsidR="00AC3A97" w14:paraId="54CE622B" w14:textId="77777777" w:rsidTr="00625C2C">
        <w:tc>
          <w:tcPr>
            <w:tcW w:w="2718" w:type="dxa"/>
          </w:tcPr>
          <w:p w14:paraId="54CE6229" w14:textId="24B646BB" w:rsidR="00AC3A97" w:rsidRPr="00717546" w:rsidRDefault="00AC3A97" w:rsidP="00AF103E">
            <w:pPr>
              <w:pStyle w:val="NoSpacing"/>
              <w:rPr>
                <w:b/>
              </w:rPr>
            </w:pPr>
            <w:r>
              <w:rPr>
                <w:b/>
              </w:rPr>
              <w:lastRenderedPageBreak/>
              <w:t>Numerator Exclusions</w:t>
            </w:r>
          </w:p>
        </w:tc>
        <w:tc>
          <w:tcPr>
            <w:tcW w:w="6858" w:type="dxa"/>
          </w:tcPr>
          <w:p w14:paraId="54CE622A" w14:textId="081D3C67" w:rsidR="00AC3A97" w:rsidRPr="001D6BEA" w:rsidRDefault="005F7BE8" w:rsidP="00AF103E">
            <w:pPr>
              <w:pStyle w:val="NoSpacing"/>
            </w:pPr>
            <w:r>
              <w:t>The Measure Steward does not identify specific numerator exclusions beyond what is described in the numerator description.</w:t>
            </w:r>
          </w:p>
        </w:tc>
      </w:tr>
      <w:tr w:rsidR="00AD706B" w14:paraId="54CE622E" w14:textId="77777777" w:rsidTr="00625C2C">
        <w:tc>
          <w:tcPr>
            <w:tcW w:w="2718" w:type="dxa"/>
          </w:tcPr>
          <w:p w14:paraId="54CE622C" w14:textId="77777777" w:rsidR="00AD706B" w:rsidRPr="00717546" w:rsidRDefault="00AD706B" w:rsidP="00A374B8">
            <w:pPr>
              <w:pStyle w:val="NoSpacing"/>
              <w:rPr>
                <w:b/>
              </w:rPr>
            </w:pPr>
            <w:r>
              <w:rPr>
                <w:b/>
              </w:rPr>
              <w:t>Setting</w:t>
            </w:r>
          </w:p>
        </w:tc>
        <w:tc>
          <w:tcPr>
            <w:tcW w:w="6858" w:type="dxa"/>
          </w:tcPr>
          <w:p w14:paraId="54CE622D" w14:textId="77777777" w:rsidR="00AD706B" w:rsidRDefault="002167EA" w:rsidP="00CD7069">
            <w:pPr>
              <w:pStyle w:val="NoSpacing"/>
            </w:pPr>
            <w:r>
              <w:t>A</w:t>
            </w:r>
            <w:r w:rsidRPr="002167EA">
              <w:t>mbulatory</w:t>
            </w:r>
          </w:p>
        </w:tc>
      </w:tr>
      <w:tr w:rsidR="00AD706B" w14:paraId="54CE6231" w14:textId="77777777" w:rsidTr="00625C2C">
        <w:tc>
          <w:tcPr>
            <w:tcW w:w="2718" w:type="dxa"/>
          </w:tcPr>
          <w:p w14:paraId="54CE622F" w14:textId="77777777" w:rsidR="00AD706B" w:rsidRDefault="00AD706B" w:rsidP="00A374B8">
            <w:pPr>
              <w:pStyle w:val="NoSpacing"/>
              <w:rPr>
                <w:b/>
              </w:rPr>
            </w:pPr>
            <w:r>
              <w:rPr>
                <w:b/>
              </w:rPr>
              <w:t>Data Source</w:t>
            </w:r>
          </w:p>
        </w:tc>
        <w:tc>
          <w:tcPr>
            <w:tcW w:w="6858" w:type="dxa"/>
          </w:tcPr>
          <w:p w14:paraId="54CE6230" w14:textId="77777777" w:rsidR="00AD706B" w:rsidRDefault="00F353B0" w:rsidP="00F353B0">
            <w:pPr>
              <w:pStyle w:val="NoSpacing"/>
            </w:pPr>
            <w:r>
              <w:t>Administrative clinical data</w:t>
            </w:r>
            <w:r>
              <w:br/>
              <w:t>Laboratory data</w:t>
            </w:r>
            <w:r>
              <w:br/>
              <w:t xml:space="preserve">Pharmacy data </w:t>
            </w:r>
            <w:r w:rsidR="002167EA">
              <w:t xml:space="preserve"> </w:t>
            </w:r>
          </w:p>
        </w:tc>
      </w:tr>
      <w:tr w:rsidR="00AD706B" w14:paraId="54CE6250" w14:textId="77777777" w:rsidTr="00625C2C">
        <w:tc>
          <w:tcPr>
            <w:tcW w:w="2718" w:type="dxa"/>
          </w:tcPr>
          <w:p w14:paraId="54CE6232" w14:textId="6CCF30E0" w:rsidR="00AD706B" w:rsidRPr="00717546" w:rsidRDefault="00791AAE" w:rsidP="00F05C01">
            <w:pPr>
              <w:pStyle w:val="NoSpacing"/>
              <w:rPr>
                <w:b/>
              </w:rPr>
            </w:pPr>
            <w:r>
              <w:rPr>
                <w:b/>
              </w:rPr>
              <w:t>Allowable Denominator Sub-sets</w:t>
            </w:r>
          </w:p>
        </w:tc>
        <w:tc>
          <w:tcPr>
            <w:tcW w:w="6858" w:type="dxa"/>
          </w:tcPr>
          <w:p w14:paraId="3514D131" w14:textId="77777777" w:rsidR="00791AAE" w:rsidRDefault="00791AAE" w:rsidP="00791AAE">
            <w:pPr>
              <w:pStyle w:val="NoSpacing"/>
            </w:pPr>
            <w:r>
              <w:t>All denominator subsets are permissible for this outcome</w:t>
            </w:r>
          </w:p>
          <w:p w14:paraId="54CE624F" w14:textId="77777777" w:rsidR="00F927B0" w:rsidRDefault="00CA4C08" w:rsidP="007F7C07">
            <w:pPr>
              <w:pStyle w:val="NoSpacing"/>
            </w:pPr>
            <w:r>
              <w:t> </w:t>
            </w:r>
          </w:p>
        </w:tc>
      </w:tr>
    </w:tbl>
    <w:p w14:paraId="54CE629A" w14:textId="77777777" w:rsidR="00356CF4" w:rsidRPr="008F249E" w:rsidRDefault="00356CF4" w:rsidP="007C7C85">
      <w:pPr>
        <w:pStyle w:val="Heading2"/>
      </w:pPr>
    </w:p>
    <w:sectPr w:rsidR="00356CF4" w:rsidRPr="008F249E" w:rsidSect="00304B2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629D" w14:textId="77777777" w:rsidR="00752796" w:rsidRDefault="00752796" w:rsidP="00F63191">
      <w:pPr>
        <w:spacing w:after="0" w:line="240" w:lineRule="auto"/>
      </w:pPr>
      <w:r>
        <w:separator/>
      </w:r>
    </w:p>
  </w:endnote>
  <w:endnote w:type="continuationSeparator" w:id="0">
    <w:p w14:paraId="54CE629E" w14:textId="77777777" w:rsidR="00752796" w:rsidRDefault="00752796"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8776" w14:textId="023A2747" w:rsidR="00155143" w:rsidRDefault="00155143">
    <w:pPr>
      <w:pStyle w:val="Footer"/>
    </w:pPr>
    <w:r>
      <w:t>9/</w:t>
    </w:r>
    <w:r w:rsidR="00625C2C">
      <w:t>18</w:t>
    </w:r>
    <w:r>
      <w:t>/2014</w:t>
    </w:r>
  </w:p>
  <w:p w14:paraId="3BE8C1F1" w14:textId="77777777" w:rsidR="00155143" w:rsidRDefault="00155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E629B" w14:textId="77777777" w:rsidR="00752796" w:rsidRDefault="00752796" w:rsidP="00F63191">
      <w:pPr>
        <w:spacing w:after="0" w:line="240" w:lineRule="auto"/>
      </w:pPr>
      <w:r>
        <w:separator/>
      </w:r>
    </w:p>
  </w:footnote>
  <w:footnote w:type="continuationSeparator" w:id="0">
    <w:p w14:paraId="54CE629C" w14:textId="77777777" w:rsidR="00752796" w:rsidRDefault="00752796" w:rsidP="00F63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F01306"/>
    <w:multiLevelType w:val="multilevel"/>
    <w:tmpl w:val="F98A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401CD"/>
    <w:multiLevelType w:val="hybridMultilevel"/>
    <w:tmpl w:val="99B8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8"/>
  </w:num>
  <w:num w:numId="5">
    <w:abstractNumId w:val="2"/>
  </w:num>
  <w:num w:numId="6">
    <w:abstractNumId w:val="5"/>
  </w:num>
  <w:num w:numId="7">
    <w:abstractNumId w:val="11"/>
  </w:num>
  <w:num w:numId="8">
    <w:abstractNumId w:val="6"/>
  </w:num>
  <w:num w:numId="9">
    <w:abstractNumId w:val="4"/>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D1199"/>
    <w:rsid w:val="000D5A2D"/>
    <w:rsid w:val="000E7EED"/>
    <w:rsid w:val="00100A2F"/>
    <w:rsid w:val="00107C1A"/>
    <w:rsid w:val="0011709A"/>
    <w:rsid w:val="00155143"/>
    <w:rsid w:val="00165D76"/>
    <w:rsid w:val="001D6BEA"/>
    <w:rsid w:val="002167EA"/>
    <w:rsid w:val="002224F0"/>
    <w:rsid w:val="00245754"/>
    <w:rsid w:val="00271E53"/>
    <w:rsid w:val="002845C2"/>
    <w:rsid w:val="002C2A07"/>
    <w:rsid w:val="00304B29"/>
    <w:rsid w:val="0032246B"/>
    <w:rsid w:val="00356CF4"/>
    <w:rsid w:val="00366D0B"/>
    <w:rsid w:val="00375652"/>
    <w:rsid w:val="00383516"/>
    <w:rsid w:val="003844DB"/>
    <w:rsid w:val="003A409E"/>
    <w:rsid w:val="003D28D4"/>
    <w:rsid w:val="003F4E8D"/>
    <w:rsid w:val="00416E44"/>
    <w:rsid w:val="004A4CEB"/>
    <w:rsid w:val="004D5263"/>
    <w:rsid w:val="00502BE4"/>
    <w:rsid w:val="00506BC5"/>
    <w:rsid w:val="00527830"/>
    <w:rsid w:val="00536799"/>
    <w:rsid w:val="005802A0"/>
    <w:rsid w:val="005857E6"/>
    <w:rsid w:val="005B79DD"/>
    <w:rsid w:val="005C70A1"/>
    <w:rsid w:val="005F4D43"/>
    <w:rsid w:val="005F7BE8"/>
    <w:rsid w:val="00625C2C"/>
    <w:rsid w:val="007136D5"/>
    <w:rsid w:val="00715994"/>
    <w:rsid w:val="00743628"/>
    <w:rsid w:val="00752796"/>
    <w:rsid w:val="00760D27"/>
    <w:rsid w:val="007867B7"/>
    <w:rsid w:val="00791AAE"/>
    <w:rsid w:val="007C728B"/>
    <w:rsid w:val="007C7C85"/>
    <w:rsid w:val="007E0395"/>
    <w:rsid w:val="007E1BD4"/>
    <w:rsid w:val="007F675B"/>
    <w:rsid w:val="007F7C07"/>
    <w:rsid w:val="00823868"/>
    <w:rsid w:val="00827557"/>
    <w:rsid w:val="0088642E"/>
    <w:rsid w:val="00886E0E"/>
    <w:rsid w:val="008A5405"/>
    <w:rsid w:val="008C681B"/>
    <w:rsid w:val="008D1A8E"/>
    <w:rsid w:val="008F249E"/>
    <w:rsid w:val="00945D83"/>
    <w:rsid w:val="00965A2A"/>
    <w:rsid w:val="00967948"/>
    <w:rsid w:val="00994A41"/>
    <w:rsid w:val="00996DD5"/>
    <w:rsid w:val="009C6EA3"/>
    <w:rsid w:val="009F7E66"/>
    <w:rsid w:val="00A11BD9"/>
    <w:rsid w:val="00A82574"/>
    <w:rsid w:val="00AC3A97"/>
    <w:rsid w:val="00AD706B"/>
    <w:rsid w:val="00B05CBF"/>
    <w:rsid w:val="00B20462"/>
    <w:rsid w:val="00B2349F"/>
    <w:rsid w:val="00B271E8"/>
    <w:rsid w:val="00B34028"/>
    <w:rsid w:val="00B546CF"/>
    <w:rsid w:val="00B65D92"/>
    <w:rsid w:val="00BA61F1"/>
    <w:rsid w:val="00BC4643"/>
    <w:rsid w:val="00BD1A4B"/>
    <w:rsid w:val="00C01E6F"/>
    <w:rsid w:val="00C305D2"/>
    <w:rsid w:val="00C619EF"/>
    <w:rsid w:val="00C673F3"/>
    <w:rsid w:val="00C86C48"/>
    <w:rsid w:val="00C968DB"/>
    <w:rsid w:val="00C9758A"/>
    <w:rsid w:val="00CA1BB2"/>
    <w:rsid w:val="00CA2D3E"/>
    <w:rsid w:val="00CA4C08"/>
    <w:rsid w:val="00CC28BC"/>
    <w:rsid w:val="00CD7069"/>
    <w:rsid w:val="00D1777E"/>
    <w:rsid w:val="00D4693B"/>
    <w:rsid w:val="00D63CD3"/>
    <w:rsid w:val="00DE660A"/>
    <w:rsid w:val="00DE770D"/>
    <w:rsid w:val="00E43145"/>
    <w:rsid w:val="00EB6678"/>
    <w:rsid w:val="00EF333D"/>
    <w:rsid w:val="00F05C01"/>
    <w:rsid w:val="00F069C3"/>
    <w:rsid w:val="00F06C5E"/>
    <w:rsid w:val="00F1775A"/>
    <w:rsid w:val="00F21CD9"/>
    <w:rsid w:val="00F2515D"/>
    <w:rsid w:val="00F353B0"/>
    <w:rsid w:val="00F4281B"/>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Emphasis">
    <w:name w:val="Emphasis"/>
    <w:basedOn w:val="DefaultParagraphFont"/>
    <w:uiPriority w:val="20"/>
    <w:qFormat/>
    <w:rsid w:val="00C619EF"/>
    <w:rPr>
      <w:i/>
      <w:iCs/>
    </w:rPr>
  </w:style>
  <w:style w:type="paragraph" w:styleId="NormalWeb">
    <w:name w:val="Normal (Web)"/>
    <w:basedOn w:val="Normal"/>
    <w:uiPriority w:val="99"/>
    <w:semiHidden/>
    <w:unhideWhenUsed/>
    <w:rsid w:val="00B234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49F"/>
    <w:rPr>
      <w:b/>
      <w:bCs/>
    </w:rPr>
  </w:style>
  <w:style w:type="character" w:styleId="FollowedHyperlink">
    <w:name w:val="FollowedHyperlink"/>
    <w:basedOn w:val="DefaultParagraphFont"/>
    <w:uiPriority w:val="99"/>
    <w:semiHidden/>
    <w:unhideWhenUsed/>
    <w:rsid w:val="007E1B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Emphasis">
    <w:name w:val="Emphasis"/>
    <w:basedOn w:val="DefaultParagraphFont"/>
    <w:uiPriority w:val="20"/>
    <w:qFormat/>
    <w:rsid w:val="00C619EF"/>
    <w:rPr>
      <w:i/>
      <w:iCs/>
    </w:rPr>
  </w:style>
  <w:style w:type="paragraph" w:styleId="NormalWeb">
    <w:name w:val="Normal (Web)"/>
    <w:basedOn w:val="Normal"/>
    <w:uiPriority w:val="99"/>
    <w:semiHidden/>
    <w:unhideWhenUsed/>
    <w:rsid w:val="00B234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49F"/>
    <w:rPr>
      <w:b/>
      <w:bCs/>
    </w:rPr>
  </w:style>
  <w:style w:type="character" w:styleId="FollowedHyperlink">
    <w:name w:val="FollowedHyperlink"/>
    <w:basedOn w:val="DefaultParagraphFont"/>
    <w:uiPriority w:val="99"/>
    <w:semiHidden/>
    <w:unhideWhenUsed/>
    <w:rsid w:val="007E1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627">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333607658">
      <w:bodyDiv w:val="1"/>
      <w:marLeft w:val="0"/>
      <w:marRight w:val="0"/>
      <w:marTop w:val="0"/>
      <w:marBottom w:val="0"/>
      <w:divBdr>
        <w:top w:val="none" w:sz="0" w:space="0" w:color="auto"/>
        <w:left w:val="none" w:sz="0" w:space="0" w:color="auto"/>
        <w:bottom w:val="none" w:sz="0" w:space="0" w:color="auto"/>
        <w:right w:val="none" w:sz="0" w:space="0" w:color="auto"/>
      </w:divBdr>
    </w:div>
    <w:div w:id="554777117">
      <w:bodyDiv w:val="1"/>
      <w:marLeft w:val="0"/>
      <w:marRight w:val="0"/>
      <w:marTop w:val="0"/>
      <w:marBottom w:val="0"/>
      <w:divBdr>
        <w:top w:val="none" w:sz="0" w:space="0" w:color="auto"/>
        <w:left w:val="none" w:sz="0" w:space="0" w:color="auto"/>
        <w:bottom w:val="none" w:sz="0" w:space="0" w:color="auto"/>
        <w:right w:val="none" w:sz="0" w:space="0" w:color="auto"/>
      </w:divBdr>
    </w:div>
    <w:div w:id="1028798794">
      <w:bodyDiv w:val="1"/>
      <w:marLeft w:val="0"/>
      <w:marRight w:val="0"/>
      <w:marTop w:val="0"/>
      <w:marBottom w:val="0"/>
      <w:divBdr>
        <w:top w:val="none" w:sz="0" w:space="0" w:color="auto"/>
        <w:left w:val="none" w:sz="0" w:space="0" w:color="auto"/>
        <w:bottom w:val="none" w:sz="0" w:space="0" w:color="auto"/>
        <w:right w:val="none" w:sz="0" w:space="0" w:color="auto"/>
      </w:divBdr>
    </w:div>
    <w:div w:id="1099956529">
      <w:bodyDiv w:val="1"/>
      <w:marLeft w:val="0"/>
      <w:marRight w:val="0"/>
      <w:marTop w:val="0"/>
      <w:marBottom w:val="0"/>
      <w:divBdr>
        <w:top w:val="none" w:sz="0" w:space="0" w:color="auto"/>
        <w:left w:val="none" w:sz="0" w:space="0" w:color="auto"/>
        <w:bottom w:val="none" w:sz="0" w:space="0" w:color="auto"/>
        <w:right w:val="none" w:sz="0" w:space="0" w:color="auto"/>
      </w:divBdr>
    </w:div>
    <w:div w:id="1220020695">
      <w:bodyDiv w:val="1"/>
      <w:marLeft w:val="0"/>
      <w:marRight w:val="0"/>
      <w:marTop w:val="0"/>
      <w:marBottom w:val="0"/>
      <w:divBdr>
        <w:top w:val="none" w:sz="0" w:space="0" w:color="auto"/>
        <w:left w:val="none" w:sz="0" w:space="0" w:color="auto"/>
        <w:bottom w:val="none" w:sz="0" w:space="0" w:color="auto"/>
        <w:right w:val="none" w:sz="0" w:space="0" w:color="auto"/>
      </w:divBdr>
    </w:div>
    <w:div w:id="13079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CB17-9DBC-4B2F-858D-F33AD188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02A83C-253D-4A52-A8CB-EEEDDEA87B73}">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A856ABE-EB08-49E3-A6CC-0116C9C7B7F9}">
  <ds:schemaRefs>
    <ds:schemaRef ds:uri="http://schemas.microsoft.com/sharepoint/v3/contenttype/forms"/>
  </ds:schemaRefs>
</ds:datastoreItem>
</file>

<file path=customXml/itemProps4.xml><?xml version="1.0" encoding="utf-8"?>
<ds:datastoreItem xmlns:ds="http://schemas.openxmlformats.org/officeDocument/2006/customXml" ds:itemID="{9FCB8B60-4FBD-4EE7-96ED-DF05B9F8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3</cp:revision>
  <dcterms:created xsi:type="dcterms:W3CDTF">2014-09-18T21:00:00Z</dcterms:created>
  <dcterms:modified xsi:type="dcterms:W3CDTF">2014-09-29T18:18:00Z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