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9746F" w14:textId="77777777" w:rsidR="00AD706B" w:rsidRDefault="00AD706B" w:rsidP="00AD706B">
      <w:pPr>
        <w:pStyle w:val="Heading1"/>
      </w:pPr>
      <w:bookmarkStart w:id="0" w:name="_GoBack"/>
      <w:bookmarkEnd w:id="0"/>
      <w:r>
        <w:t>IT-</w:t>
      </w:r>
      <w:r w:rsidR="00BF4AE0">
        <w:t>1.24</w:t>
      </w:r>
      <w:r>
        <w:t xml:space="preserve">:  </w:t>
      </w:r>
      <w:r w:rsidR="00BF4AE0">
        <w:t>Adolescent Tobacco Use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8"/>
        <w:gridCol w:w="6768"/>
      </w:tblGrid>
      <w:tr w:rsidR="00AD706B" w14:paraId="6BC97472" w14:textId="77777777" w:rsidTr="005C6D47">
        <w:trPr>
          <w:tblHeader/>
        </w:trPr>
        <w:tc>
          <w:tcPr>
            <w:tcW w:w="2808" w:type="dxa"/>
            <w:shd w:val="clear" w:color="auto" w:fill="F2F2F2" w:themeFill="background1" w:themeFillShade="F2"/>
          </w:tcPr>
          <w:p w14:paraId="6BC97470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768" w:type="dxa"/>
            <w:shd w:val="clear" w:color="auto" w:fill="F2F2F2" w:themeFill="background1" w:themeFillShade="F2"/>
          </w:tcPr>
          <w:p w14:paraId="6BC97471" w14:textId="1AAA9365" w:rsidR="00AD706B" w:rsidRPr="008779F5" w:rsidRDefault="00D76D25" w:rsidP="00B05CBF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IT-1.24 </w:t>
            </w:r>
            <w:r w:rsidR="004B46CB">
              <w:rPr>
                <w:b/>
              </w:rPr>
              <w:t>Adolescent Tobacco Use</w:t>
            </w:r>
            <w:r w:rsidR="00AD706B" w:rsidRPr="008779F5">
              <w:rPr>
                <w:b/>
              </w:rPr>
              <w:t xml:space="preserve"> </w:t>
            </w:r>
          </w:p>
        </w:tc>
      </w:tr>
      <w:tr w:rsidR="00AD706B" w14:paraId="6BC97475" w14:textId="77777777" w:rsidTr="005C6D47">
        <w:tc>
          <w:tcPr>
            <w:tcW w:w="2808" w:type="dxa"/>
          </w:tcPr>
          <w:p w14:paraId="6BC97473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768" w:type="dxa"/>
          </w:tcPr>
          <w:p w14:paraId="6BC97474" w14:textId="77777777" w:rsidR="00AD706B" w:rsidRDefault="004B46CB" w:rsidP="00B05CBF">
            <w:pPr>
              <w:pStyle w:val="NoSpacing"/>
            </w:pPr>
            <w:r w:rsidRPr="004B46CB">
              <w:t>Prevalence of high school tobacco use</w:t>
            </w:r>
          </w:p>
        </w:tc>
      </w:tr>
      <w:tr w:rsidR="00AD706B" w14:paraId="6BC97478" w14:textId="77777777" w:rsidTr="005C6D47">
        <w:tc>
          <w:tcPr>
            <w:tcW w:w="2808" w:type="dxa"/>
          </w:tcPr>
          <w:p w14:paraId="6BC97476" w14:textId="77777777" w:rsidR="00AD706B" w:rsidRPr="00717546" w:rsidRDefault="00AD706B" w:rsidP="00A374B8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768" w:type="dxa"/>
          </w:tcPr>
          <w:p w14:paraId="6BC97477" w14:textId="77777777" w:rsidR="00AD706B" w:rsidRDefault="00100A2F" w:rsidP="00812CD9">
            <w:pPr>
              <w:pStyle w:val="NoSpacing"/>
            </w:pPr>
            <w:r>
              <w:t>Not applicable</w:t>
            </w:r>
          </w:p>
        </w:tc>
      </w:tr>
      <w:tr w:rsidR="00AD706B" w14:paraId="6BC9747B" w14:textId="77777777" w:rsidTr="005C6D47">
        <w:tc>
          <w:tcPr>
            <w:tcW w:w="2808" w:type="dxa"/>
          </w:tcPr>
          <w:p w14:paraId="6BC97479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768" w:type="dxa"/>
          </w:tcPr>
          <w:p w14:paraId="6BC9747A" w14:textId="2D7BA54A" w:rsidR="00AD706B" w:rsidRPr="00631E85" w:rsidRDefault="00DA2ADC" w:rsidP="005715F8">
            <w:pPr>
              <w:pStyle w:val="NoSpacing"/>
            </w:pPr>
            <w:r>
              <w:t xml:space="preserve">Health People 2020 Initiative; </w:t>
            </w:r>
            <w:r w:rsidRPr="00DA2ADC">
              <w:t>Centers for Disease Control and Prevention, National Center for HIV/AIDS, Viral Hepatitis, STD, and TB Prevention (CDC/NCHHSTP)</w:t>
            </w:r>
          </w:p>
        </w:tc>
      </w:tr>
      <w:tr w:rsidR="00AD706B" w14:paraId="6BC9747E" w14:textId="77777777" w:rsidTr="005C6D47">
        <w:tc>
          <w:tcPr>
            <w:tcW w:w="2808" w:type="dxa"/>
          </w:tcPr>
          <w:p w14:paraId="6BC9747C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768" w:type="dxa"/>
          </w:tcPr>
          <w:p w14:paraId="6BC9747D" w14:textId="77777777" w:rsidR="00AD706B" w:rsidRPr="00631E85" w:rsidRDefault="00BD3665" w:rsidP="00A374B8">
            <w:pPr>
              <w:pStyle w:val="NoSpacing"/>
            </w:pPr>
            <w:hyperlink r:id="rId12" w:history="1">
              <w:r w:rsidR="00766F75" w:rsidRPr="00195D36">
                <w:rPr>
                  <w:rStyle w:val="Hyperlink"/>
                </w:rPr>
                <w:t>http://www.healthypeople.gov/2020/topicsobjectives2020/TechSpecs.aspx?hp2020id=TU-2.1</w:t>
              </w:r>
            </w:hyperlink>
            <w:r w:rsidR="00766F75">
              <w:t xml:space="preserve"> </w:t>
            </w:r>
          </w:p>
        </w:tc>
      </w:tr>
      <w:tr w:rsidR="00AD706B" w14:paraId="6BC97481" w14:textId="77777777" w:rsidTr="005C6D47">
        <w:tc>
          <w:tcPr>
            <w:tcW w:w="2808" w:type="dxa"/>
          </w:tcPr>
          <w:p w14:paraId="6BC9747F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768" w:type="dxa"/>
          </w:tcPr>
          <w:p w14:paraId="6BC97480" w14:textId="77777777" w:rsidR="00AD706B" w:rsidRDefault="00165D76" w:rsidP="00812CD9">
            <w:pPr>
              <w:pStyle w:val="NoSpacing"/>
            </w:pPr>
            <w:r>
              <w:t>Stand-A</w:t>
            </w:r>
            <w:r w:rsidR="00AD706B">
              <w:t>lone</w:t>
            </w:r>
            <w:r w:rsidR="00812CD9">
              <w:t xml:space="preserve"> (</w:t>
            </w:r>
            <w:r>
              <w:t>SA)</w:t>
            </w:r>
          </w:p>
        </w:tc>
      </w:tr>
      <w:tr w:rsidR="00AD706B" w14:paraId="6BC97484" w14:textId="77777777" w:rsidTr="005C6D47">
        <w:tc>
          <w:tcPr>
            <w:tcW w:w="2808" w:type="dxa"/>
          </w:tcPr>
          <w:p w14:paraId="6BC97482" w14:textId="0F61C94E" w:rsidR="00AD706B" w:rsidRDefault="00D76D25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Performance and Achievement Type</w:t>
            </w:r>
          </w:p>
        </w:tc>
        <w:tc>
          <w:tcPr>
            <w:tcW w:w="6768" w:type="dxa"/>
          </w:tcPr>
          <w:p w14:paraId="6BC97483" w14:textId="7AF29DB7" w:rsidR="00AD706B" w:rsidRDefault="00AD706B" w:rsidP="00D76D25">
            <w:pPr>
              <w:pStyle w:val="NoSpacing"/>
            </w:pPr>
            <w:r>
              <w:t>P</w:t>
            </w:r>
            <w:r w:rsidR="00D76D25">
              <w:t>ay-for-Reporting: Prior Authorization</w:t>
            </w:r>
          </w:p>
        </w:tc>
      </w:tr>
      <w:tr w:rsidR="00AD706B" w14:paraId="6BC97487" w14:textId="77777777" w:rsidTr="005C6D47">
        <w:tc>
          <w:tcPr>
            <w:tcW w:w="2808" w:type="dxa"/>
          </w:tcPr>
          <w:p w14:paraId="6BC97485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768" w:type="dxa"/>
          </w:tcPr>
          <w:p w14:paraId="6BC97486" w14:textId="77777777" w:rsidR="009F78A7" w:rsidRDefault="002B4387" w:rsidP="00766F75">
            <w:pPr>
              <w:pStyle w:val="NoSpacing"/>
            </w:pPr>
            <w:r>
              <w:t>None</w:t>
            </w:r>
          </w:p>
        </w:tc>
      </w:tr>
      <w:tr w:rsidR="00AD706B" w14:paraId="6BC9748A" w14:textId="77777777" w:rsidTr="005C6D47">
        <w:tc>
          <w:tcPr>
            <w:tcW w:w="2808" w:type="dxa"/>
          </w:tcPr>
          <w:p w14:paraId="6BC97488" w14:textId="77777777"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768" w:type="dxa"/>
          </w:tcPr>
          <w:p w14:paraId="6BC97489" w14:textId="77777777" w:rsidR="00AD706B" w:rsidRPr="009F7E66" w:rsidRDefault="00AA0663" w:rsidP="001D6BEA">
            <w:pPr>
              <w:pStyle w:val="NoSpacing"/>
            </w:pPr>
            <w:r w:rsidRPr="00AA0663">
              <w:t>Number of students in grades 9 through 12.</w:t>
            </w:r>
          </w:p>
        </w:tc>
      </w:tr>
      <w:tr w:rsidR="00B05CBF" w14:paraId="6BC9748D" w14:textId="77777777" w:rsidTr="005C6D47">
        <w:trPr>
          <w:trHeight w:val="728"/>
        </w:trPr>
        <w:tc>
          <w:tcPr>
            <w:tcW w:w="2808" w:type="dxa"/>
          </w:tcPr>
          <w:p w14:paraId="6BC9748B" w14:textId="77777777"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768" w:type="dxa"/>
          </w:tcPr>
          <w:p w14:paraId="6BC9748C" w14:textId="77777777" w:rsidR="00B05CBF" w:rsidRPr="0012650D" w:rsidRDefault="009F04D0" w:rsidP="002E14AF">
            <w:pPr>
              <w:pStyle w:val="NoSpacing"/>
              <w:rPr>
                <w:b/>
              </w:rPr>
            </w:pPr>
            <w:r>
              <w:t>The Measure Steward does not identify specific denominator inclusions beyond what is described i</w:t>
            </w:r>
            <w:r w:rsidR="00AA0663">
              <w:t>n the denominator description.</w:t>
            </w:r>
          </w:p>
        </w:tc>
      </w:tr>
      <w:tr w:rsidR="00B05CBF" w14:paraId="6BC97490" w14:textId="77777777" w:rsidTr="005C6D47">
        <w:trPr>
          <w:trHeight w:val="710"/>
        </w:trPr>
        <w:tc>
          <w:tcPr>
            <w:tcW w:w="2808" w:type="dxa"/>
          </w:tcPr>
          <w:p w14:paraId="6BC9748E" w14:textId="77777777"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768" w:type="dxa"/>
          </w:tcPr>
          <w:p w14:paraId="6BC9748F" w14:textId="77777777" w:rsidR="00B05CBF" w:rsidRPr="001D6BEA" w:rsidRDefault="009F04D0" w:rsidP="002E14AF">
            <w:pPr>
              <w:pStyle w:val="NoSpacing"/>
            </w:pPr>
            <w:r>
              <w:t>The Measure Steward does not identify specific denominator exclusions beyond what is described i</w:t>
            </w:r>
            <w:r w:rsidR="00AA0663">
              <w:t>n the denominator description.</w:t>
            </w:r>
          </w:p>
        </w:tc>
      </w:tr>
      <w:tr w:rsidR="00D63CD3" w14:paraId="6BC97496" w14:textId="77777777" w:rsidTr="005C6D47">
        <w:tc>
          <w:tcPr>
            <w:tcW w:w="2808" w:type="dxa"/>
          </w:tcPr>
          <w:p w14:paraId="6BC97491" w14:textId="77777777" w:rsidR="00D63CD3" w:rsidRDefault="00D63CD3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768" w:type="dxa"/>
          </w:tcPr>
          <w:p w14:paraId="6BC97492" w14:textId="77777777"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14:paraId="6BC97493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14:paraId="6BC97494" w14:textId="77777777"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14:paraId="6BC97495" w14:textId="1AC3D638" w:rsidR="0032246B" w:rsidRPr="001D6BEA" w:rsidRDefault="0032246B" w:rsidP="00E5624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E5624B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14:paraId="6BC97499" w14:textId="77777777" w:rsidTr="005C6D47">
        <w:tc>
          <w:tcPr>
            <w:tcW w:w="2808" w:type="dxa"/>
          </w:tcPr>
          <w:p w14:paraId="6BC97497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Numerator Description </w:t>
            </w:r>
          </w:p>
        </w:tc>
        <w:tc>
          <w:tcPr>
            <w:tcW w:w="6768" w:type="dxa"/>
          </w:tcPr>
          <w:p w14:paraId="6BC97498" w14:textId="77777777" w:rsidR="00AC3A97" w:rsidRPr="009F7E66" w:rsidRDefault="00AA0663" w:rsidP="00AF103E">
            <w:pPr>
              <w:pStyle w:val="NoSpacing"/>
            </w:pPr>
            <w:r w:rsidRPr="00AA0663">
              <w:t>Number of students in grades 9 through 12 who report using cigarettes, spit tobacco, or cigars on 1 or more of the 30 days preceding the survey.</w:t>
            </w:r>
          </w:p>
        </w:tc>
      </w:tr>
      <w:tr w:rsidR="00AC3A97" w14:paraId="6BC9749C" w14:textId="77777777" w:rsidTr="005C6D47">
        <w:tc>
          <w:tcPr>
            <w:tcW w:w="2808" w:type="dxa"/>
          </w:tcPr>
          <w:p w14:paraId="6BC9749A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768" w:type="dxa"/>
          </w:tcPr>
          <w:p w14:paraId="6BC9749B" w14:textId="77777777" w:rsidR="00AC3A97" w:rsidRPr="0012650D" w:rsidRDefault="009F78A7" w:rsidP="002E14AF">
            <w:pPr>
              <w:pStyle w:val="NoSpacing"/>
              <w:rPr>
                <w:b/>
              </w:rPr>
            </w:pPr>
            <w:r>
              <w:t xml:space="preserve">The Measure Steward does not identify </w:t>
            </w:r>
            <w:r w:rsidR="009F04D0">
              <w:t xml:space="preserve">specific </w:t>
            </w:r>
            <w:r>
              <w:t>numerator inclusions</w:t>
            </w:r>
            <w:r w:rsidR="009F04D0">
              <w:t xml:space="preserve"> beyond what is described in </w:t>
            </w:r>
            <w:r w:rsidR="00AA0663">
              <w:t>the numerator description.</w:t>
            </w:r>
          </w:p>
        </w:tc>
      </w:tr>
      <w:tr w:rsidR="00AC3A97" w14:paraId="6BC9749F" w14:textId="77777777" w:rsidTr="005C6D47">
        <w:tc>
          <w:tcPr>
            <w:tcW w:w="2808" w:type="dxa"/>
          </w:tcPr>
          <w:p w14:paraId="6BC9749D" w14:textId="77777777" w:rsidR="00AC3A97" w:rsidRPr="00717546" w:rsidRDefault="00AC3A97" w:rsidP="00AF103E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768" w:type="dxa"/>
          </w:tcPr>
          <w:p w14:paraId="6BC9749E" w14:textId="77777777" w:rsidR="00AC3A97" w:rsidRPr="001D6BEA" w:rsidRDefault="009F04D0" w:rsidP="002E14AF">
            <w:pPr>
              <w:pStyle w:val="NoSpacing"/>
            </w:pPr>
            <w:r>
              <w:t>The Measure Steward does not identify specific numerator exclusions beyond what is described</w:t>
            </w:r>
            <w:r w:rsidR="00AA0663">
              <w:t xml:space="preserve"> in the numerator description.</w:t>
            </w:r>
          </w:p>
        </w:tc>
      </w:tr>
      <w:tr w:rsidR="00AD706B" w14:paraId="6BC974A2" w14:textId="77777777" w:rsidTr="005C6D47">
        <w:tc>
          <w:tcPr>
            <w:tcW w:w="2808" w:type="dxa"/>
          </w:tcPr>
          <w:p w14:paraId="6BC974A0" w14:textId="77777777" w:rsidR="00AD706B" w:rsidRPr="00717546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Setting</w:t>
            </w:r>
          </w:p>
        </w:tc>
        <w:tc>
          <w:tcPr>
            <w:tcW w:w="6768" w:type="dxa"/>
          </w:tcPr>
          <w:p w14:paraId="6BC974A1" w14:textId="77777777" w:rsidR="00AD706B" w:rsidRDefault="004B46CB" w:rsidP="00CD7069">
            <w:pPr>
              <w:pStyle w:val="NoSpacing"/>
            </w:pPr>
            <w:r>
              <w:t>Ambulatory</w:t>
            </w:r>
          </w:p>
        </w:tc>
      </w:tr>
      <w:tr w:rsidR="00AD706B" w14:paraId="6BC974A5" w14:textId="77777777" w:rsidTr="005C6D47">
        <w:tc>
          <w:tcPr>
            <w:tcW w:w="2808" w:type="dxa"/>
          </w:tcPr>
          <w:p w14:paraId="6BC974A3" w14:textId="77777777" w:rsidR="00AD706B" w:rsidRDefault="00AD706B" w:rsidP="00A374B8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768" w:type="dxa"/>
          </w:tcPr>
          <w:p w14:paraId="6BC974A4" w14:textId="489964D3" w:rsidR="00AD706B" w:rsidRDefault="00E5624B" w:rsidP="00AF3A3D">
            <w:pPr>
              <w:pStyle w:val="NoSpacing"/>
            </w:pPr>
            <w:r w:rsidRPr="00035BA6">
              <w:t>Youth Risk Behavior Surveillance System</w:t>
            </w:r>
            <w:r>
              <w:t xml:space="preserve"> Survey Data, Other Provider records</w:t>
            </w:r>
          </w:p>
        </w:tc>
      </w:tr>
      <w:tr w:rsidR="008D1E08" w14:paraId="6BC974C4" w14:textId="77777777" w:rsidTr="005C6D47">
        <w:tc>
          <w:tcPr>
            <w:tcW w:w="2808" w:type="dxa"/>
          </w:tcPr>
          <w:p w14:paraId="6BC974A6" w14:textId="3FBDC958" w:rsidR="008D1E08" w:rsidRPr="00717546" w:rsidRDefault="008D1E08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768" w:type="dxa"/>
          </w:tcPr>
          <w:p w14:paraId="07015191" w14:textId="77777777" w:rsidR="008D1E08" w:rsidRDefault="008D1E08" w:rsidP="007D6148">
            <w:pPr>
              <w:pStyle w:val="NoSpacing"/>
            </w:pPr>
            <w:r>
              <w:t>All denominator subsets are permissible for this outcome</w:t>
            </w:r>
          </w:p>
          <w:p w14:paraId="6BC974C3" w14:textId="589534CC" w:rsidR="008D1E08" w:rsidRDefault="008D1E08" w:rsidP="007F7C07">
            <w:pPr>
              <w:pStyle w:val="NoSpacing"/>
            </w:pPr>
            <w:r>
              <w:t> </w:t>
            </w:r>
          </w:p>
        </w:tc>
      </w:tr>
    </w:tbl>
    <w:p w14:paraId="6BC9750E" w14:textId="77777777" w:rsidR="00356CF4" w:rsidRPr="008F249E" w:rsidRDefault="00356CF4" w:rsidP="007C7C85">
      <w:pPr>
        <w:pStyle w:val="Heading2"/>
      </w:pPr>
    </w:p>
    <w:sectPr w:rsidR="00356CF4" w:rsidRPr="008F249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C97514" w14:textId="77777777" w:rsidR="004B158B" w:rsidRDefault="004B158B" w:rsidP="00F63191">
      <w:pPr>
        <w:spacing w:after="0" w:line="240" w:lineRule="auto"/>
      </w:pPr>
      <w:r>
        <w:separator/>
      </w:r>
    </w:p>
  </w:endnote>
  <w:endnote w:type="continuationSeparator" w:id="0">
    <w:p w14:paraId="6BC97515" w14:textId="77777777" w:rsidR="004B158B" w:rsidRDefault="004B158B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D641B" w14:textId="5228F9CB" w:rsidR="00BD3665" w:rsidRDefault="00BD3665">
    <w:pPr>
      <w:pStyle w:val="Footer"/>
    </w:pPr>
    <w:r>
      <w:t>09/</w:t>
    </w:r>
    <w:r w:rsidR="000A4167">
      <w:t>24</w:t>
    </w:r>
    <w:r>
      <w:t>/14</w:t>
    </w:r>
  </w:p>
  <w:p w14:paraId="6BC97518" w14:textId="77777777" w:rsidR="002E14AF" w:rsidRDefault="002E14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C97512" w14:textId="77777777" w:rsidR="004B158B" w:rsidRDefault="004B158B" w:rsidP="00F63191">
      <w:pPr>
        <w:spacing w:after="0" w:line="240" w:lineRule="auto"/>
      </w:pPr>
      <w:r>
        <w:separator/>
      </w:r>
    </w:p>
  </w:footnote>
  <w:footnote w:type="continuationSeparator" w:id="0">
    <w:p w14:paraId="6BC97513" w14:textId="77777777" w:rsidR="004B158B" w:rsidRDefault="004B158B" w:rsidP="00F63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97516" w14:textId="05B32FD5" w:rsidR="008F0411" w:rsidRDefault="008F0411" w:rsidP="008F041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7D14B6"/>
    <w:multiLevelType w:val="hybridMultilevel"/>
    <w:tmpl w:val="8078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0"/>
  </w:num>
  <w:num w:numId="8">
    <w:abstractNumId w:val="6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35BA6"/>
    <w:rsid w:val="000A4167"/>
    <w:rsid w:val="000C575F"/>
    <w:rsid w:val="000D1199"/>
    <w:rsid w:val="000D5A2D"/>
    <w:rsid w:val="000E7EED"/>
    <w:rsid w:val="000F5474"/>
    <w:rsid w:val="00100A2F"/>
    <w:rsid w:val="00107C1A"/>
    <w:rsid w:val="0011709A"/>
    <w:rsid w:val="00165D76"/>
    <w:rsid w:val="001D6BEA"/>
    <w:rsid w:val="002224F0"/>
    <w:rsid w:val="00245754"/>
    <w:rsid w:val="00271E53"/>
    <w:rsid w:val="002845C2"/>
    <w:rsid w:val="002B4387"/>
    <w:rsid w:val="002E14AF"/>
    <w:rsid w:val="0032246B"/>
    <w:rsid w:val="00346B8D"/>
    <w:rsid w:val="00356CF4"/>
    <w:rsid w:val="00366D0B"/>
    <w:rsid w:val="00375652"/>
    <w:rsid w:val="00383516"/>
    <w:rsid w:val="003844DB"/>
    <w:rsid w:val="003A409E"/>
    <w:rsid w:val="003F4E8D"/>
    <w:rsid w:val="00416E44"/>
    <w:rsid w:val="004B158B"/>
    <w:rsid w:val="004B46CB"/>
    <w:rsid w:val="00502BE4"/>
    <w:rsid w:val="00506BC5"/>
    <w:rsid w:val="00536799"/>
    <w:rsid w:val="00556A71"/>
    <w:rsid w:val="005715F8"/>
    <w:rsid w:val="005802A0"/>
    <w:rsid w:val="005857E6"/>
    <w:rsid w:val="005B79DD"/>
    <w:rsid w:val="005C2682"/>
    <w:rsid w:val="005C6D47"/>
    <w:rsid w:val="005C70A1"/>
    <w:rsid w:val="005F4D43"/>
    <w:rsid w:val="007164C7"/>
    <w:rsid w:val="00743628"/>
    <w:rsid w:val="00760D27"/>
    <w:rsid w:val="00766F75"/>
    <w:rsid w:val="007C728B"/>
    <w:rsid w:val="007C7C85"/>
    <w:rsid w:val="007E0395"/>
    <w:rsid w:val="007F675B"/>
    <w:rsid w:val="007F7C07"/>
    <w:rsid w:val="00812CD9"/>
    <w:rsid w:val="00823868"/>
    <w:rsid w:val="00827557"/>
    <w:rsid w:val="008722BB"/>
    <w:rsid w:val="008779F5"/>
    <w:rsid w:val="0088642E"/>
    <w:rsid w:val="00886E0E"/>
    <w:rsid w:val="008A5405"/>
    <w:rsid w:val="008D1A8E"/>
    <w:rsid w:val="008D1E08"/>
    <w:rsid w:val="008E5828"/>
    <w:rsid w:val="008F0411"/>
    <w:rsid w:val="008F249E"/>
    <w:rsid w:val="00901656"/>
    <w:rsid w:val="00965A2A"/>
    <w:rsid w:val="00967948"/>
    <w:rsid w:val="00994A41"/>
    <w:rsid w:val="00996DD5"/>
    <w:rsid w:val="009C6EA3"/>
    <w:rsid w:val="009F04D0"/>
    <w:rsid w:val="009F78A7"/>
    <w:rsid w:val="009F7E66"/>
    <w:rsid w:val="00A11BD9"/>
    <w:rsid w:val="00A82574"/>
    <w:rsid w:val="00AA0663"/>
    <w:rsid w:val="00AC3A97"/>
    <w:rsid w:val="00AC773D"/>
    <w:rsid w:val="00AD706B"/>
    <w:rsid w:val="00AF3A3D"/>
    <w:rsid w:val="00B05CBF"/>
    <w:rsid w:val="00B20462"/>
    <w:rsid w:val="00B546CF"/>
    <w:rsid w:val="00B65D92"/>
    <w:rsid w:val="00BA61F1"/>
    <w:rsid w:val="00BC4643"/>
    <w:rsid w:val="00BD3665"/>
    <w:rsid w:val="00BF4AE0"/>
    <w:rsid w:val="00C01E6F"/>
    <w:rsid w:val="00C86C48"/>
    <w:rsid w:val="00C9758A"/>
    <w:rsid w:val="00CA2D3E"/>
    <w:rsid w:val="00CA4C08"/>
    <w:rsid w:val="00CC28BC"/>
    <w:rsid w:val="00CD7069"/>
    <w:rsid w:val="00CF56A1"/>
    <w:rsid w:val="00D1777E"/>
    <w:rsid w:val="00D63CD3"/>
    <w:rsid w:val="00D73FBB"/>
    <w:rsid w:val="00D76D25"/>
    <w:rsid w:val="00DA2ADC"/>
    <w:rsid w:val="00DB7651"/>
    <w:rsid w:val="00DE660A"/>
    <w:rsid w:val="00E0243B"/>
    <w:rsid w:val="00E43145"/>
    <w:rsid w:val="00E5624B"/>
    <w:rsid w:val="00EB6678"/>
    <w:rsid w:val="00EF333D"/>
    <w:rsid w:val="00F05C01"/>
    <w:rsid w:val="00F069C3"/>
    <w:rsid w:val="00F06C5E"/>
    <w:rsid w:val="00F20443"/>
    <w:rsid w:val="00F63191"/>
    <w:rsid w:val="00F64CD1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74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DA2A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DA2A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healthypeople.gov/2020/topicsobjectives2020/TechSpecs.aspx?hp2020id=TU-2.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3D58-B0F6-4EC7-AADE-0B49CA8920FD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54C9514-518E-4776-8F72-FEC2F32DE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EE2112-2410-4C2B-94EE-7F997DF1AF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5307F4-B3C8-4E22-AD9E-26206253A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3</cp:revision>
  <dcterms:created xsi:type="dcterms:W3CDTF">2014-09-24T14:31:00Z</dcterms:created>
  <dcterms:modified xsi:type="dcterms:W3CDTF">2014-09-24T14:31:00Z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